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8F13D85"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C07C04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CA5D6E">
        <w:rPr>
          <w:rFonts w:ascii="Azo Sans Md" w:hAnsi="Azo Sans Md" w:cstheme="minorHAnsi"/>
          <w:b/>
          <w:bCs/>
          <w:sz w:val="22"/>
          <w:szCs w:val="22"/>
        </w:rPr>
        <w:t>23.458/2023</w:t>
      </w:r>
      <w:r w:rsidR="00C92EB8" w:rsidRPr="00C92EB8">
        <w:rPr>
          <w:rFonts w:ascii="Azo Sans Lt" w:hAnsi="Azo Sans Lt" w:cstheme="minorHAnsi"/>
          <w:sz w:val="22"/>
          <w:szCs w:val="22"/>
        </w:rPr>
        <w:t>,</w:t>
      </w:r>
      <w:r w:rsidR="005466C3" w:rsidRPr="00C92EB8">
        <w:rPr>
          <w:rFonts w:ascii="Azo Sans Lt" w:hAnsi="Azo Sans Lt"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CA5D6E">
        <w:rPr>
          <w:rFonts w:ascii="Azo Sans Md" w:hAnsi="Azo Sans Md" w:cstheme="minorHAnsi"/>
          <w:b/>
          <w:bCs/>
          <w:sz w:val="22"/>
          <w:szCs w:val="22"/>
        </w:rPr>
        <w:t>266</w:t>
      </w:r>
      <w:r w:rsidR="00B84DE4">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2A276BA6"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B84DE4">
        <w:rPr>
          <w:rFonts w:ascii="Azo Sans Lt" w:hAnsi="Azo Sans Lt" w:cstheme="minorHAnsi"/>
          <w:b w:val="0"/>
          <w:sz w:val="22"/>
          <w:szCs w:val="22"/>
        </w:rPr>
        <w:t xml:space="preserve">a </w:t>
      </w:r>
      <w:bookmarkStart w:id="0" w:name="__DdeLink__3295_3091048291"/>
      <w:r w:rsidR="007F637A">
        <w:rPr>
          <w:rFonts w:ascii="Azo Sans Md" w:hAnsi="Azo Sans Md"/>
          <w:sz w:val="22"/>
          <w:szCs w:val="22"/>
        </w:rPr>
        <w:t>a</w:t>
      </w:r>
      <w:r w:rsidR="007F637A" w:rsidRPr="003B39B3">
        <w:rPr>
          <w:rFonts w:ascii="Azo Sans Md" w:hAnsi="Azo Sans Md"/>
          <w:sz w:val="22"/>
          <w:szCs w:val="22"/>
        </w:rPr>
        <w:t>quisição de materiais necessários à implementação de ações de educação ambiental voltada à gestão de Resíduos Sólidos, através de assessoria e consultoria em 5 unidades escolares, para atender as necessidades da Secretaria Municipal de Meio Ambiente</w:t>
      </w:r>
      <w:bookmarkEnd w:id="0"/>
      <w:r w:rsidR="0027001D">
        <w:rPr>
          <w:rFonts w:ascii="Azo Sans Md" w:hAnsi="Azo Sans Md" w:cstheme="minorHAnsi"/>
          <w:b w:val="0"/>
          <w:sz w:val="22"/>
          <w:szCs w:val="22"/>
          <w:lang w:val="pt-PT"/>
        </w:rPr>
        <w:t>,</w:t>
      </w:r>
      <w:r w:rsidR="00147924" w:rsidRPr="00147924">
        <w:rPr>
          <w:rFonts w:ascii="Azo Sans Md" w:hAnsi="Azo Sans Md" w:cstheme="minorHAnsi"/>
          <w:b w:val="0"/>
          <w:sz w:val="22"/>
          <w:szCs w:val="22"/>
          <w:lang w:val="pt-PT"/>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6"/>
        <w:gridCol w:w="1274"/>
        <w:gridCol w:w="2180"/>
        <w:gridCol w:w="876"/>
        <w:gridCol w:w="945"/>
        <w:gridCol w:w="950"/>
        <w:gridCol w:w="1245"/>
        <w:gridCol w:w="910"/>
      </w:tblGrid>
      <w:tr w:rsidR="006306EF" w14:paraId="30136ED5" w14:textId="77777777" w:rsidTr="00276C18">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30F00417"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276C18">
        <w:rPr>
          <w:rFonts w:ascii="Azo Sans Lt" w:hAnsi="Azo Sans Lt" w:cstheme="minorHAnsi"/>
          <w:bCs/>
          <w:i/>
        </w:rPr>
        <w:t>caput</w:t>
      </w:r>
      <w:r w:rsidR="00276C18">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29068E1A" w:rsidR="001D32DF"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7B864552" w14:textId="77777777" w:rsidR="00276C18" w:rsidRPr="00F37352" w:rsidRDefault="00276C18" w:rsidP="00276C18">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55AC4339" w14:textId="237C7165" w:rsidR="00B03288" w:rsidRDefault="00B03288" w:rsidP="00CF41A6">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29FC163" w14:textId="2D877A2F" w:rsidR="007F637A" w:rsidRPr="007F637A" w:rsidRDefault="00B84DE4" w:rsidP="00CF41A6">
      <w:pPr>
        <w:pStyle w:val="PargrafodaLista"/>
        <w:widowControl/>
        <w:numPr>
          <w:ilvl w:val="1"/>
          <w:numId w:val="27"/>
        </w:numPr>
        <w:pBdr>
          <w:top w:val="nil"/>
          <w:left w:val="nil"/>
          <w:bottom w:val="nil"/>
          <w:right w:val="nil"/>
          <w:between w:val="nil"/>
        </w:pBdr>
        <w:autoSpaceDE/>
        <w:autoSpaceDN/>
        <w:spacing w:before="0" w:line="360" w:lineRule="auto"/>
        <w:ind w:left="0" w:firstLine="0"/>
        <w:jc w:val="both"/>
        <w:rPr>
          <w:rFonts w:ascii="Azo Sans Lt" w:hAnsi="Azo Sans Lt" w:cstheme="minorHAnsi"/>
          <w:bCs/>
          <w:iCs/>
        </w:rPr>
      </w:pPr>
      <w:r w:rsidRPr="007F637A">
        <w:rPr>
          <w:rFonts w:ascii="Azo Sans Lt" w:hAnsi="Azo Sans Lt" w:cstheme="minorHAnsi"/>
          <w:bCs/>
          <w:iCs/>
        </w:rPr>
        <w:t xml:space="preserve">- </w:t>
      </w:r>
      <w:r w:rsidR="007F637A" w:rsidRPr="007F637A">
        <w:rPr>
          <w:rFonts w:ascii="Azo Sans Lt" w:hAnsi="Azo Sans Lt" w:cstheme="minorHAnsi"/>
          <w:bCs/>
          <w:iCs/>
        </w:rPr>
        <w:t>As despesas decorrentes dos serviços prestados, previstos no Termo de Referência correrão por conta das naturezas da</w:t>
      </w:r>
      <w:r w:rsidR="00AF67F2">
        <w:rPr>
          <w:rFonts w:ascii="Azo Sans Lt" w:hAnsi="Azo Sans Lt" w:cstheme="minorHAnsi"/>
          <w:bCs/>
          <w:iCs/>
        </w:rPr>
        <w:t>s</w:t>
      </w:r>
      <w:r w:rsidR="007F637A" w:rsidRPr="007F637A">
        <w:rPr>
          <w:rFonts w:ascii="Azo Sans Lt" w:hAnsi="Azo Sans Lt" w:cstheme="minorHAnsi"/>
          <w:bCs/>
          <w:iCs/>
        </w:rPr>
        <w:t xml:space="preserve"> despesas, fonte de recurso e programa de trabalho, conforme especificados a seguir:</w:t>
      </w:r>
    </w:p>
    <w:p w14:paraId="7136B6F7" w14:textId="1E4C302E" w:rsidR="007F637A" w:rsidRPr="007F637A" w:rsidRDefault="007F637A" w:rsidP="00CF41A6">
      <w:pPr>
        <w:pStyle w:val="PargrafodaLista"/>
        <w:widowControl/>
        <w:numPr>
          <w:ilvl w:val="1"/>
          <w:numId w:val="27"/>
        </w:numPr>
        <w:pBdr>
          <w:top w:val="nil"/>
          <w:left w:val="nil"/>
          <w:bottom w:val="nil"/>
          <w:right w:val="nil"/>
          <w:between w:val="nil"/>
        </w:pBdr>
        <w:autoSpaceDE/>
        <w:autoSpaceDN/>
        <w:spacing w:before="0" w:line="360" w:lineRule="auto"/>
        <w:ind w:left="0" w:firstLine="0"/>
        <w:jc w:val="both"/>
        <w:rPr>
          <w:rFonts w:ascii="Azo Sans Lt" w:hAnsi="Azo Sans Lt" w:cstheme="minorHAnsi"/>
          <w:bCs/>
          <w:iCs/>
        </w:rPr>
      </w:pPr>
      <w:r w:rsidRPr="007F637A">
        <w:rPr>
          <w:rFonts w:ascii="Azo Sans Lt" w:hAnsi="Azo Sans Lt" w:cstheme="minorHAnsi"/>
          <w:bCs/>
          <w:iCs/>
        </w:rPr>
        <w:t>Da aquisição de materiais permanentes:</w:t>
      </w:r>
    </w:p>
    <w:tbl>
      <w:tblPr>
        <w:tblW w:w="9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856"/>
        <w:gridCol w:w="5515"/>
      </w:tblGrid>
      <w:tr w:rsidR="007F637A" w:rsidRPr="007F637A" w14:paraId="2AD9C3D4" w14:textId="77777777" w:rsidTr="007F637A">
        <w:tc>
          <w:tcPr>
            <w:tcW w:w="851" w:type="dxa"/>
            <w:tcBorders>
              <w:left w:val="nil"/>
              <w:right w:val="nil"/>
            </w:tcBorders>
            <w:vAlign w:val="center"/>
          </w:tcPr>
          <w:p w14:paraId="77498BCC" w14:textId="76CC7CC6"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4.2.1</w:t>
            </w:r>
          </w:p>
        </w:tc>
        <w:tc>
          <w:tcPr>
            <w:tcW w:w="2856" w:type="dxa"/>
            <w:tcBorders>
              <w:left w:val="nil"/>
              <w:right w:val="nil"/>
            </w:tcBorders>
            <w:vAlign w:val="center"/>
          </w:tcPr>
          <w:p w14:paraId="5B850DCA" w14:textId="77777777"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Elemento de Despesa:</w:t>
            </w:r>
          </w:p>
        </w:tc>
        <w:tc>
          <w:tcPr>
            <w:tcW w:w="5515" w:type="dxa"/>
            <w:tcBorders>
              <w:left w:val="nil"/>
              <w:right w:val="nil"/>
            </w:tcBorders>
            <w:vAlign w:val="center"/>
          </w:tcPr>
          <w:p w14:paraId="1A6EE1D1" w14:textId="77777777" w:rsidR="007F637A" w:rsidRPr="007F637A" w:rsidRDefault="007F637A" w:rsidP="00CF41A6">
            <w:pPr>
              <w:spacing w:line="360" w:lineRule="auto"/>
              <w:rPr>
                <w:rFonts w:ascii="Azo Sans Lt" w:hAnsi="Azo Sans Lt" w:cstheme="minorHAnsi"/>
                <w:bCs/>
                <w:iCs/>
              </w:rPr>
            </w:pPr>
            <w:r w:rsidRPr="007F637A">
              <w:rPr>
                <w:rFonts w:ascii="Azo Sans Lt" w:hAnsi="Azo Sans Lt" w:cstheme="minorHAnsi"/>
                <w:bCs/>
                <w:iCs/>
              </w:rPr>
              <w:t>4490-52</w:t>
            </w:r>
          </w:p>
        </w:tc>
      </w:tr>
      <w:tr w:rsidR="007F637A" w:rsidRPr="007F637A" w14:paraId="5FA371DF" w14:textId="77777777" w:rsidTr="007F637A">
        <w:tc>
          <w:tcPr>
            <w:tcW w:w="851" w:type="dxa"/>
            <w:tcBorders>
              <w:left w:val="nil"/>
              <w:right w:val="nil"/>
            </w:tcBorders>
            <w:vAlign w:val="center"/>
          </w:tcPr>
          <w:p w14:paraId="7F3A58A1" w14:textId="23463E86"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4.2.2</w:t>
            </w:r>
          </w:p>
        </w:tc>
        <w:tc>
          <w:tcPr>
            <w:tcW w:w="2856" w:type="dxa"/>
            <w:tcBorders>
              <w:left w:val="nil"/>
              <w:right w:val="nil"/>
            </w:tcBorders>
            <w:vAlign w:val="center"/>
          </w:tcPr>
          <w:p w14:paraId="7C6716AA" w14:textId="77777777"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Fonte de Recurso:</w:t>
            </w:r>
          </w:p>
        </w:tc>
        <w:tc>
          <w:tcPr>
            <w:tcW w:w="5515" w:type="dxa"/>
            <w:tcBorders>
              <w:left w:val="nil"/>
              <w:right w:val="nil"/>
            </w:tcBorders>
            <w:vAlign w:val="center"/>
          </w:tcPr>
          <w:p w14:paraId="19DD7378" w14:textId="77777777" w:rsidR="007F637A" w:rsidRPr="007F637A" w:rsidRDefault="007F637A" w:rsidP="00CF41A6">
            <w:pPr>
              <w:spacing w:line="360" w:lineRule="auto"/>
              <w:rPr>
                <w:rFonts w:ascii="Azo Sans Lt" w:hAnsi="Azo Sans Lt" w:cstheme="minorHAnsi"/>
                <w:bCs/>
                <w:iCs/>
              </w:rPr>
            </w:pPr>
            <w:r w:rsidRPr="007F637A">
              <w:rPr>
                <w:rFonts w:ascii="Azo Sans Lt" w:hAnsi="Azo Sans Lt" w:cstheme="minorHAnsi"/>
                <w:bCs/>
                <w:iCs/>
              </w:rPr>
              <w:t>175900000034</w:t>
            </w:r>
          </w:p>
        </w:tc>
      </w:tr>
      <w:tr w:rsidR="007F637A" w:rsidRPr="007F637A" w14:paraId="0159D4BC" w14:textId="77777777" w:rsidTr="007F637A">
        <w:tc>
          <w:tcPr>
            <w:tcW w:w="851" w:type="dxa"/>
            <w:tcBorders>
              <w:left w:val="nil"/>
              <w:right w:val="nil"/>
            </w:tcBorders>
            <w:vAlign w:val="center"/>
          </w:tcPr>
          <w:p w14:paraId="1C546975" w14:textId="78C559F0"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4.</w:t>
            </w:r>
            <w:r w:rsidR="00AF67F2">
              <w:rPr>
                <w:rFonts w:ascii="Azo Sans Lt" w:hAnsi="Azo Sans Lt" w:cstheme="minorHAnsi"/>
                <w:bCs/>
                <w:iCs/>
              </w:rPr>
              <w:t>2</w:t>
            </w:r>
            <w:r w:rsidRPr="007F637A">
              <w:rPr>
                <w:rFonts w:ascii="Azo Sans Lt" w:hAnsi="Azo Sans Lt" w:cstheme="minorHAnsi"/>
                <w:bCs/>
                <w:iCs/>
              </w:rPr>
              <w:t>.3</w:t>
            </w:r>
          </w:p>
        </w:tc>
        <w:tc>
          <w:tcPr>
            <w:tcW w:w="2856" w:type="dxa"/>
            <w:tcBorders>
              <w:left w:val="nil"/>
              <w:right w:val="nil"/>
            </w:tcBorders>
            <w:vAlign w:val="center"/>
          </w:tcPr>
          <w:p w14:paraId="6D5E6121" w14:textId="77777777" w:rsidR="007F637A" w:rsidRPr="007F637A" w:rsidRDefault="007F637A" w:rsidP="00CF41A6">
            <w:pPr>
              <w:widowControl/>
              <w:pBdr>
                <w:top w:val="nil"/>
                <w:left w:val="nil"/>
                <w:bottom w:val="nil"/>
                <w:right w:val="nil"/>
                <w:between w:val="nil"/>
              </w:pBdr>
              <w:spacing w:line="360" w:lineRule="auto"/>
              <w:jc w:val="both"/>
              <w:rPr>
                <w:rFonts w:ascii="Azo Sans Lt" w:hAnsi="Azo Sans Lt" w:cstheme="minorHAnsi"/>
                <w:bCs/>
                <w:iCs/>
              </w:rPr>
            </w:pPr>
            <w:r w:rsidRPr="007F637A">
              <w:rPr>
                <w:rFonts w:ascii="Azo Sans Lt" w:hAnsi="Azo Sans Lt" w:cstheme="minorHAnsi"/>
                <w:bCs/>
                <w:iCs/>
              </w:rPr>
              <w:t>Programa de Trabalho:</w:t>
            </w:r>
          </w:p>
        </w:tc>
        <w:tc>
          <w:tcPr>
            <w:tcW w:w="5515" w:type="dxa"/>
            <w:tcBorders>
              <w:left w:val="nil"/>
              <w:right w:val="nil"/>
            </w:tcBorders>
            <w:vAlign w:val="center"/>
          </w:tcPr>
          <w:p w14:paraId="58C10E98" w14:textId="777777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32001.0412200012.002</w:t>
            </w:r>
          </w:p>
        </w:tc>
      </w:tr>
    </w:tbl>
    <w:p w14:paraId="6E42D8E8" w14:textId="77777777" w:rsidR="007F637A" w:rsidRPr="007F637A" w:rsidRDefault="007F637A" w:rsidP="00CF41A6">
      <w:pPr>
        <w:pBdr>
          <w:top w:val="nil"/>
          <w:left w:val="nil"/>
          <w:bottom w:val="nil"/>
          <w:right w:val="nil"/>
          <w:between w:val="nil"/>
        </w:pBdr>
        <w:spacing w:line="360" w:lineRule="auto"/>
        <w:jc w:val="both"/>
        <w:rPr>
          <w:rFonts w:ascii="Azo Sans Lt" w:hAnsi="Azo Sans Lt" w:cstheme="minorHAnsi"/>
          <w:bCs/>
          <w:iCs/>
        </w:rPr>
      </w:pPr>
    </w:p>
    <w:p w14:paraId="1588275C" w14:textId="5DB73E17" w:rsidR="007F637A" w:rsidRPr="007F637A" w:rsidRDefault="007F637A" w:rsidP="00CF41A6">
      <w:pPr>
        <w:pStyle w:val="PargrafodaLista"/>
        <w:widowControl/>
        <w:numPr>
          <w:ilvl w:val="1"/>
          <w:numId w:val="27"/>
        </w:numPr>
        <w:autoSpaceDE/>
        <w:autoSpaceDN/>
        <w:spacing w:before="0" w:line="360" w:lineRule="auto"/>
        <w:ind w:left="0" w:firstLine="0"/>
        <w:jc w:val="both"/>
        <w:rPr>
          <w:rFonts w:ascii="Azo Sans Lt" w:hAnsi="Azo Sans Lt" w:cstheme="minorHAnsi"/>
          <w:bCs/>
          <w:iCs/>
        </w:rPr>
      </w:pPr>
      <w:r w:rsidRPr="007F637A">
        <w:rPr>
          <w:rFonts w:ascii="Azo Sans Lt" w:hAnsi="Azo Sans Lt" w:cstheme="minorHAnsi"/>
          <w:bCs/>
          <w:iCs/>
        </w:rPr>
        <w:t>- Da aquisição de materiais de consumo:</w:t>
      </w:r>
    </w:p>
    <w:tbl>
      <w:tblPr>
        <w:tblW w:w="9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2"/>
        <w:gridCol w:w="2625"/>
        <w:gridCol w:w="5515"/>
      </w:tblGrid>
      <w:tr w:rsidR="007F637A" w:rsidRPr="007F637A" w14:paraId="33EBB661" w14:textId="77777777" w:rsidTr="007F637A">
        <w:tc>
          <w:tcPr>
            <w:tcW w:w="1082" w:type="dxa"/>
            <w:tcBorders>
              <w:left w:val="nil"/>
              <w:right w:val="nil"/>
            </w:tcBorders>
            <w:vAlign w:val="center"/>
          </w:tcPr>
          <w:p w14:paraId="67247D05" w14:textId="77F929A6"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 xml:space="preserve">4.3.1 </w:t>
            </w:r>
          </w:p>
        </w:tc>
        <w:tc>
          <w:tcPr>
            <w:tcW w:w="2625" w:type="dxa"/>
            <w:tcBorders>
              <w:left w:val="nil"/>
              <w:right w:val="nil"/>
            </w:tcBorders>
            <w:vAlign w:val="center"/>
          </w:tcPr>
          <w:p w14:paraId="7DDD0DE4" w14:textId="777777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Elemento de Despesa:</w:t>
            </w:r>
          </w:p>
        </w:tc>
        <w:tc>
          <w:tcPr>
            <w:tcW w:w="5515" w:type="dxa"/>
            <w:tcBorders>
              <w:left w:val="nil"/>
              <w:right w:val="nil"/>
            </w:tcBorders>
            <w:vAlign w:val="center"/>
          </w:tcPr>
          <w:p w14:paraId="246AE54E" w14:textId="77777777" w:rsidR="007F637A" w:rsidRPr="007F637A" w:rsidRDefault="007F637A" w:rsidP="00CF41A6">
            <w:pPr>
              <w:spacing w:line="360" w:lineRule="auto"/>
              <w:rPr>
                <w:rFonts w:ascii="Azo Sans Lt" w:hAnsi="Azo Sans Lt" w:cstheme="minorHAnsi"/>
                <w:bCs/>
                <w:iCs/>
              </w:rPr>
            </w:pPr>
            <w:r w:rsidRPr="007F637A">
              <w:rPr>
                <w:rFonts w:ascii="Azo Sans Lt" w:hAnsi="Azo Sans Lt" w:cstheme="minorHAnsi"/>
                <w:bCs/>
                <w:iCs/>
              </w:rPr>
              <w:t>3390-30</w:t>
            </w:r>
          </w:p>
        </w:tc>
      </w:tr>
      <w:tr w:rsidR="007F637A" w:rsidRPr="007F637A" w14:paraId="680441B0" w14:textId="77777777" w:rsidTr="007F637A">
        <w:tc>
          <w:tcPr>
            <w:tcW w:w="1082" w:type="dxa"/>
            <w:tcBorders>
              <w:left w:val="nil"/>
              <w:right w:val="nil"/>
            </w:tcBorders>
            <w:vAlign w:val="center"/>
          </w:tcPr>
          <w:p w14:paraId="74C0874B" w14:textId="444A35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 xml:space="preserve">4.3.2 </w:t>
            </w:r>
          </w:p>
        </w:tc>
        <w:tc>
          <w:tcPr>
            <w:tcW w:w="2625" w:type="dxa"/>
            <w:tcBorders>
              <w:left w:val="nil"/>
              <w:right w:val="nil"/>
            </w:tcBorders>
            <w:vAlign w:val="center"/>
          </w:tcPr>
          <w:p w14:paraId="19134335" w14:textId="777777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Fonte de Recurso:</w:t>
            </w:r>
          </w:p>
        </w:tc>
        <w:tc>
          <w:tcPr>
            <w:tcW w:w="5515" w:type="dxa"/>
            <w:tcBorders>
              <w:left w:val="nil"/>
              <w:right w:val="nil"/>
            </w:tcBorders>
            <w:vAlign w:val="center"/>
          </w:tcPr>
          <w:p w14:paraId="1305FE94" w14:textId="77777777" w:rsidR="007F637A" w:rsidRPr="007F637A" w:rsidRDefault="007F637A" w:rsidP="00CF41A6">
            <w:pPr>
              <w:spacing w:line="360" w:lineRule="auto"/>
              <w:rPr>
                <w:rFonts w:ascii="Azo Sans Lt" w:hAnsi="Azo Sans Lt" w:cstheme="minorHAnsi"/>
                <w:bCs/>
                <w:iCs/>
              </w:rPr>
            </w:pPr>
            <w:r w:rsidRPr="007F637A">
              <w:rPr>
                <w:rFonts w:ascii="Azo Sans Lt" w:hAnsi="Azo Sans Lt" w:cstheme="minorHAnsi"/>
                <w:bCs/>
                <w:iCs/>
              </w:rPr>
              <w:t>175900000034</w:t>
            </w:r>
          </w:p>
        </w:tc>
      </w:tr>
      <w:tr w:rsidR="007F637A" w:rsidRPr="007F637A" w14:paraId="320B4392" w14:textId="77777777" w:rsidTr="007F637A">
        <w:tc>
          <w:tcPr>
            <w:tcW w:w="1082" w:type="dxa"/>
            <w:tcBorders>
              <w:left w:val="nil"/>
              <w:right w:val="nil"/>
            </w:tcBorders>
            <w:vAlign w:val="center"/>
          </w:tcPr>
          <w:p w14:paraId="0658F98C" w14:textId="553CF026"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 xml:space="preserve">4.3.3 </w:t>
            </w:r>
          </w:p>
        </w:tc>
        <w:tc>
          <w:tcPr>
            <w:tcW w:w="2625" w:type="dxa"/>
            <w:tcBorders>
              <w:left w:val="nil"/>
              <w:right w:val="nil"/>
            </w:tcBorders>
            <w:vAlign w:val="center"/>
          </w:tcPr>
          <w:p w14:paraId="1E6A25F6" w14:textId="777777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Programa de Trabalho:</w:t>
            </w:r>
          </w:p>
        </w:tc>
        <w:tc>
          <w:tcPr>
            <w:tcW w:w="5515" w:type="dxa"/>
            <w:tcBorders>
              <w:left w:val="nil"/>
              <w:right w:val="nil"/>
            </w:tcBorders>
            <w:vAlign w:val="center"/>
          </w:tcPr>
          <w:p w14:paraId="693F0763" w14:textId="77777777" w:rsidR="007F637A" w:rsidRPr="007F637A" w:rsidRDefault="007F637A" w:rsidP="00CF41A6">
            <w:pPr>
              <w:spacing w:line="360" w:lineRule="auto"/>
              <w:jc w:val="both"/>
              <w:rPr>
                <w:rFonts w:ascii="Azo Sans Lt" w:hAnsi="Azo Sans Lt" w:cstheme="minorHAnsi"/>
                <w:bCs/>
                <w:iCs/>
              </w:rPr>
            </w:pPr>
            <w:r w:rsidRPr="007F637A">
              <w:rPr>
                <w:rFonts w:ascii="Azo Sans Lt" w:hAnsi="Azo Sans Lt" w:cstheme="minorHAnsi"/>
                <w:bCs/>
                <w:iCs/>
              </w:rPr>
              <w:t>32001.0412200012.002</w:t>
            </w:r>
          </w:p>
        </w:tc>
      </w:tr>
    </w:tbl>
    <w:p w14:paraId="752C1360" w14:textId="77777777" w:rsidR="007F637A" w:rsidRPr="007F637A" w:rsidRDefault="007F637A" w:rsidP="00CF41A6">
      <w:pPr>
        <w:spacing w:line="360" w:lineRule="auto"/>
        <w:jc w:val="both"/>
        <w:rPr>
          <w:rFonts w:ascii="Azo Sans Lt" w:hAnsi="Azo Sans Lt" w:cstheme="minorHAnsi"/>
          <w:bCs/>
          <w:iCs/>
        </w:rPr>
      </w:pPr>
    </w:p>
    <w:p w14:paraId="2ACD98D7" w14:textId="3727DD0F" w:rsidR="007F637A" w:rsidRPr="007F637A" w:rsidRDefault="007F637A" w:rsidP="00CF41A6">
      <w:pPr>
        <w:widowControl/>
        <w:numPr>
          <w:ilvl w:val="1"/>
          <w:numId w:val="27"/>
        </w:numPr>
        <w:pBdr>
          <w:top w:val="nil"/>
          <w:left w:val="nil"/>
          <w:bottom w:val="nil"/>
          <w:right w:val="nil"/>
          <w:between w:val="nil"/>
        </w:pBdr>
        <w:autoSpaceDE/>
        <w:autoSpaceDN/>
        <w:spacing w:line="360" w:lineRule="auto"/>
        <w:ind w:left="0" w:right="2" w:firstLine="0"/>
        <w:jc w:val="both"/>
        <w:rPr>
          <w:rFonts w:ascii="Azo Sans Lt" w:hAnsi="Azo Sans Lt" w:cstheme="minorHAnsi"/>
          <w:bCs/>
          <w:iCs/>
        </w:rPr>
      </w:pPr>
      <w:r w:rsidRPr="007F637A">
        <w:rPr>
          <w:rFonts w:ascii="Azo Sans Lt" w:hAnsi="Azo Sans Lt" w:cstheme="minorHAnsi"/>
          <w:bCs/>
          <w:iCs/>
        </w:rPr>
        <w:t xml:space="preserve"> As notas fiscais deverão ser emitidas em nome de: </w:t>
      </w:r>
      <w:r w:rsidRPr="00CF41A6">
        <w:rPr>
          <w:rFonts w:ascii="Azo Sans Lt" w:hAnsi="Azo Sans Lt" w:cstheme="minorHAnsi"/>
          <w:b/>
          <w:iCs/>
        </w:rPr>
        <w:t>FUNDO MUNICIPAL DE MEIO AMBIENTE E DESENVOLVIMENTO SUSTENTÁVEL DE NOVA FRIBURGO, CNPJ: 11.861.858/0001-67, AVENIDA ALBERTO BRAUNE, 225, CENTRO, NOVA FRIBURGO – RJ, CEP: 28613-001</w:t>
      </w:r>
      <w:r w:rsidRPr="007F637A">
        <w:rPr>
          <w:rFonts w:ascii="Azo Sans Lt" w:hAnsi="Azo Sans Lt" w:cstheme="minorHAnsi"/>
          <w:bCs/>
          <w:iCs/>
        </w:rPr>
        <w:t>.</w:t>
      </w:r>
    </w:p>
    <w:p w14:paraId="006F178C" w14:textId="77981C22" w:rsidR="00F11F7F" w:rsidRDefault="00F11F7F" w:rsidP="007F637A">
      <w:pPr>
        <w:pStyle w:val="PargrafodaLista"/>
        <w:spacing w:before="0" w:line="360" w:lineRule="auto"/>
        <w:ind w:left="0"/>
        <w:jc w:val="both"/>
        <w:rPr>
          <w:rFonts w:ascii="Azo Sans Lt" w:hAnsi="Azo Sans Lt" w:cstheme="minorHAnsi"/>
          <w:bCs/>
          <w:iCs/>
        </w:rPr>
      </w:pPr>
    </w:p>
    <w:p w14:paraId="2624BCC3" w14:textId="05B528AC" w:rsidR="001D32DF" w:rsidRDefault="00A111BA" w:rsidP="00F11F7F">
      <w:pPr>
        <w:pStyle w:val="Nivel01"/>
        <w:numPr>
          <w:ilvl w:val="0"/>
          <w:numId w:val="27"/>
        </w:numPr>
        <w:tabs>
          <w:tab w:val="clear" w:pos="567"/>
          <w:tab w:val="left" w:pos="0"/>
        </w:tabs>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9787725" w14:textId="55B39584" w:rsidR="00B06A69" w:rsidRPr="00A46F9B" w:rsidRDefault="00B06A69" w:rsidP="00A46F9B">
      <w:pPr>
        <w:jc w:val="both"/>
        <w:rPr>
          <w:rFonts w:ascii="Azo Sans Lt" w:hAnsi="Azo Sans Lt" w:cstheme="minorHAnsi"/>
          <w:bCs/>
          <w:iCs/>
        </w:rPr>
      </w:pPr>
      <w:r w:rsidRPr="00A46F9B">
        <w:rPr>
          <w:rFonts w:ascii="Azo Sans Lt" w:hAnsi="Azo Sans Lt" w:cstheme="minorHAnsi"/>
          <w:bCs/>
          <w:iCs/>
        </w:rPr>
        <w:t xml:space="preserve">5.1 - O pagamento será efetuado conforme estabelece o </w:t>
      </w:r>
      <w:bookmarkStart w:id="1" w:name="_Hlk153366086"/>
      <w:r w:rsidRPr="00A46F9B">
        <w:rPr>
          <w:rFonts w:ascii="Azo Sans Lt" w:hAnsi="Azo Sans Lt" w:cstheme="minorHAnsi"/>
          <w:bCs/>
          <w:iCs/>
        </w:rPr>
        <w:t>Decreto n.º 2.493, de 07 de novembro de 2023</w:t>
      </w:r>
      <w:bookmarkEnd w:id="1"/>
      <w:r w:rsidRPr="00A46F9B">
        <w:rPr>
          <w:rFonts w:ascii="Azo Sans Lt" w:hAnsi="Azo Sans Lt" w:cstheme="minorHAnsi"/>
          <w:bCs/>
          <w:iCs/>
        </w:rPr>
        <w:t>, desde que as certidões listadas abaixo estejam dentro da validade:</w:t>
      </w:r>
    </w:p>
    <w:p w14:paraId="3D7F915F" w14:textId="77777777" w:rsidR="00B06A69" w:rsidRPr="00A46F9B" w:rsidRDefault="00B06A69" w:rsidP="00A46F9B">
      <w:pPr>
        <w:jc w:val="both"/>
        <w:rPr>
          <w:rFonts w:ascii="Azo Sans Lt" w:hAnsi="Azo Sans Lt" w:cstheme="minorHAnsi"/>
          <w:bCs/>
          <w:iCs/>
        </w:rPr>
      </w:pPr>
    </w:p>
    <w:p w14:paraId="61F8B590"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lastRenderedPageBreak/>
        <w:t>Negativa de Débitos Trabalhistas;</w:t>
      </w:r>
    </w:p>
    <w:p w14:paraId="1D5A3D2A"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t>Fazenda Federal – abrange as contribuições sociais;</w:t>
      </w:r>
    </w:p>
    <w:p w14:paraId="29E944A8"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t>FGTS;</w:t>
      </w:r>
    </w:p>
    <w:p w14:paraId="74FBB70C"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t>PGE – referente a Dívida Ativa Estadual;</w:t>
      </w:r>
    </w:p>
    <w:p w14:paraId="77AA3547"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t>Municipal – referente ao ISS e Dívida Ativa;</w:t>
      </w:r>
    </w:p>
    <w:p w14:paraId="57CAD09D" w14:textId="77777777" w:rsidR="00B06A69" w:rsidRPr="00A46F9B" w:rsidRDefault="00B06A69" w:rsidP="00A46F9B">
      <w:pPr>
        <w:widowControl/>
        <w:numPr>
          <w:ilvl w:val="0"/>
          <w:numId w:val="35"/>
        </w:numPr>
        <w:autoSpaceDE/>
        <w:autoSpaceDN/>
        <w:ind w:left="0" w:firstLine="0"/>
        <w:jc w:val="both"/>
        <w:rPr>
          <w:rFonts w:ascii="Azo Sans Lt" w:hAnsi="Azo Sans Lt" w:cstheme="minorHAnsi"/>
          <w:bCs/>
          <w:iCs/>
        </w:rPr>
      </w:pPr>
      <w:r w:rsidRPr="00A46F9B">
        <w:rPr>
          <w:rFonts w:ascii="Azo Sans Lt" w:hAnsi="Azo Sans Lt" w:cstheme="minorHAnsi"/>
          <w:bCs/>
          <w:iCs/>
        </w:rPr>
        <w:t>Estadual CND – referente ao ICMS.</w:t>
      </w:r>
    </w:p>
    <w:p w14:paraId="39A5F9B3" w14:textId="70B644D7" w:rsidR="00B06A69" w:rsidRPr="00A46F9B" w:rsidRDefault="00B06A69" w:rsidP="00A46F9B">
      <w:pPr>
        <w:pStyle w:val="PargrafodaLista"/>
        <w:widowControl/>
        <w:numPr>
          <w:ilvl w:val="1"/>
          <w:numId w:val="36"/>
        </w:numPr>
        <w:pBdr>
          <w:top w:val="nil"/>
          <w:left w:val="nil"/>
          <w:bottom w:val="nil"/>
          <w:right w:val="nil"/>
          <w:between w:val="nil"/>
        </w:pBdr>
        <w:autoSpaceDE/>
        <w:autoSpaceDN/>
        <w:ind w:left="0" w:firstLine="0"/>
        <w:jc w:val="both"/>
        <w:rPr>
          <w:rFonts w:ascii="Azo Sans Lt" w:hAnsi="Azo Sans Lt" w:cstheme="minorHAnsi"/>
          <w:bCs/>
          <w:iCs/>
        </w:rPr>
      </w:pPr>
      <w:r w:rsidRPr="00A46F9B">
        <w:rPr>
          <w:rFonts w:ascii="Azo Sans Lt" w:hAnsi="Azo Sans Lt" w:cstheme="minorHAnsi"/>
          <w:bCs/>
          <w:iCs/>
        </w:rPr>
        <w:t xml:space="preserve">- A Nota Fiscal deverá conter a identificação do Banco, número da Agência e da Conta Corrente, para que possibilite o CONTRATANTE efetuar o pagamento do valor devido; </w:t>
      </w:r>
    </w:p>
    <w:p w14:paraId="6EE357B7" w14:textId="4418D60C" w:rsidR="00B06A69" w:rsidRPr="00A46F9B" w:rsidRDefault="00B06A69" w:rsidP="00A46F9B">
      <w:pPr>
        <w:pStyle w:val="PargrafodaLista"/>
        <w:widowControl/>
        <w:numPr>
          <w:ilvl w:val="1"/>
          <w:numId w:val="36"/>
        </w:numPr>
        <w:pBdr>
          <w:top w:val="nil"/>
          <w:left w:val="nil"/>
          <w:bottom w:val="nil"/>
          <w:right w:val="nil"/>
          <w:between w:val="nil"/>
        </w:pBdr>
        <w:autoSpaceDE/>
        <w:autoSpaceDN/>
        <w:ind w:left="0" w:firstLine="0"/>
        <w:jc w:val="both"/>
        <w:rPr>
          <w:rFonts w:ascii="Azo Sans Lt" w:hAnsi="Azo Sans Lt" w:cstheme="minorHAnsi"/>
          <w:bCs/>
          <w:iCs/>
        </w:rPr>
      </w:pPr>
      <w:r w:rsidRPr="00A46F9B">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11E614D8" w14:textId="77777777" w:rsidR="00B06A69" w:rsidRDefault="00B06A69" w:rsidP="00B06A69">
      <w:pPr>
        <w:pStyle w:val="Nivel01"/>
        <w:tabs>
          <w:tab w:val="clear" w:pos="567"/>
          <w:tab w:val="left" w:pos="0"/>
        </w:tabs>
        <w:spacing w:before="0" w:line="360" w:lineRule="auto"/>
        <w:rPr>
          <w:rFonts w:ascii="Azo Sans Lt" w:hAnsi="Azo Sans Lt" w:cstheme="minorHAnsi"/>
          <w:sz w:val="22"/>
          <w:szCs w:val="22"/>
        </w:rPr>
      </w:pPr>
    </w:p>
    <w:p w14:paraId="08D6E367" w14:textId="5B6B9E09" w:rsidR="001D32DF" w:rsidRDefault="00641674" w:rsidP="00B06A69">
      <w:pPr>
        <w:pStyle w:val="Nivel01"/>
        <w:numPr>
          <w:ilvl w:val="0"/>
          <w:numId w:val="36"/>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377F6ABF" w:rsidR="005466C3" w:rsidRPr="00814BB1" w:rsidRDefault="005466C3" w:rsidP="003035CB">
      <w:pPr>
        <w:pStyle w:val="PargrafodaLista"/>
        <w:widowControl/>
        <w:numPr>
          <w:ilvl w:val="1"/>
          <w:numId w:val="38"/>
        </w:numPr>
        <w:tabs>
          <w:tab w:val="left" w:pos="0"/>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3035CB">
      <w:pPr>
        <w:pStyle w:val="Nivel01"/>
        <w:numPr>
          <w:ilvl w:val="0"/>
          <w:numId w:val="38"/>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443B64F" w:rsidR="001D32DF" w:rsidRDefault="001D32DF" w:rsidP="003035CB">
      <w:pPr>
        <w:pStyle w:val="PargrafodaLista"/>
        <w:widowControl/>
        <w:numPr>
          <w:ilvl w:val="1"/>
          <w:numId w:val="38"/>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64B5FA25" w14:textId="77777777" w:rsidR="00F11F7F" w:rsidRPr="0028504B" w:rsidRDefault="00F11F7F" w:rsidP="00F11F7F">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42713A09" w:rsidR="00385663" w:rsidRDefault="00385663" w:rsidP="003035CB">
      <w:pPr>
        <w:pStyle w:val="Nivel01"/>
        <w:numPr>
          <w:ilvl w:val="0"/>
          <w:numId w:val="38"/>
        </w:numPr>
        <w:spacing w:before="0" w:line="360" w:lineRule="auto"/>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7D043B">
        <w:rPr>
          <w:rFonts w:ascii="Azo Sans Lt" w:hAnsi="Azo Sans Lt" w:cstheme="minorHAnsi"/>
          <w:sz w:val="22"/>
          <w:szCs w:val="22"/>
        </w:rPr>
        <w:t>FORNECIMENTO</w:t>
      </w:r>
      <w:r w:rsidR="001D32DF" w:rsidRPr="00385663">
        <w:rPr>
          <w:rFonts w:ascii="Azo Sans Lt" w:hAnsi="Azo Sans Lt" w:cstheme="minorHAnsi"/>
          <w:sz w:val="22"/>
          <w:szCs w:val="22"/>
        </w:rPr>
        <w:t xml:space="preserve"> </w:t>
      </w:r>
      <w:r w:rsidR="000A7B5D">
        <w:rPr>
          <w:rFonts w:ascii="Azo Sans Lt" w:hAnsi="Azo Sans Lt" w:cstheme="minorHAnsi"/>
          <w:sz w:val="22"/>
          <w:szCs w:val="22"/>
        </w:rPr>
        <w:t>(</w:t>
      </w:r>
      <w:r w:rsidR="00A46F9B">
        <w:rPr>
          <w:rFonts w:ascii="Azo Sans Lt" w:hAnsi="Azo Sans Lt" w:cstheme="minorHAnsi"/>
          <w:sz w:val="22"/>
          <w:szCs w:val="22"/>
        </w:rPr>
        <w:t>DA ENTREGA E CRITÉRIOS DE ACEITAÇÃO</w:t>
      </w:r>
      <w:r w:rsidR="000A7B5D">
        <w:rPr>
          <w:rFonts w:ascii="Azo Sans Lt" w:hAnsi="Azo Sans Lt" w:cstheme="minorHAnsi"/>
          <w:sz w:val="22"/>
          <w:szCs w:val="22"/>
        </w:rPr>
        <w:t>)</w:t>
      </w:r>
    </w:p>
    <w:p w14:paraId="0417B84B" w14:textId="607F0A16" w:rsidR="00AF67F2" w:rsidRPr="00AF67F2" w:rsidRDefault="000A7B5D" w:rsidP="00124325">
      <w:pPr>
        <w:pStyle w:val="PargrafodaLista"/>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 xml:space="preserve">- </w:t>
      </w:r>
      <w:r w:rsidR="00AF67F2" w:rsidRPr="00AF67F2">
        <w:rPr>
          <w:rFonts w:ascii="Azo Sans Lt" w:hAnsi="Azo Sans Lt" w:cstheme="minorHAnsi"/>
          <w:lang w:val="pt-BR"/>
        </w:rPr>
        <w:t>O fornecimento será efetuado nos termos abaixo, com prazo de entrega não superior a 07 (sete) dias úteis, contados do recebimento da Nota de Empenho (ou assinatura do contrato, se for o caso):</w:t>
      </w:r>
    </w:p>
    <w:p w14:paraId="009C2246" w14:textId="77777777" w:rsidR="00AF67F2" w:rsidRPr="00AF67F2" w:rsidRDefault="00AF67F2" w:rsidP="00124325">
      <w:pPr>
        <w:widowControl/>
        <w:numPr>
          <w:ilvl w:val="2"/>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A(s) contratada(s) deverá(</w:t>
      </w:r>
      <w:proofErr w:type="spellStart"/>
      <w:r w:rsidRPr="00AF67F2">
        <w:rPr>
          <w:rFonts w:ascii="Azo Sans Lt" w:hAnsi="Azo Sans Lt" w:cstheme="minorHAnsi"/>
          <w:lang w:val="pt-BR"/>
        </w:rPr>
        <w:t>ão</w:t>
      </w:r>
      <w:proofErr w:type="spellEnd"/>
      <w:r w:rsidRPr="00AF67F2">
        <w:rPr>
          <w:rFonts w:ascii="Azo Sans Lt" w:hAnsi="Azo Sans Lt" w:cstheme="minorHAnsi"/>
          <w:lang w:val="pt-BR"/>
        </w:rPr>
        <w:t>) entregar o(s) material(ais), quando da solicitação da Contratante, em remessa única, na sede da Secretaria Municipal de Meio Ambiente, qual seja:</w:t>
      </w:r>
    </w:p>
    <w:p w14:paraId="00DB8225" w14:textId="77777777" w:rsidR="00AF67F2" w:rsidRPr="00AF67F2" w:rsidRDefault="00AF67F2" w:rsidP="00AF67F2">
      <w:pPr>
        <w:ind w:left="1440" w:right="208"/>
        <w:jc w:val="both"/>
        <w:rPr>
          <w:rFonts w:ascii="Azo Sans Lt" w:hAnsi="Azo Sans Lt" w:cstheme="minorHAnsi"/>
          <w:lang w:val="pt-BR"/>
        </w:rPr>
      </w:pPr>
    </w:p>
    <w:p w14:paraId="001C6717" w14:textId="77777777" w:rsidR="00AF67F2" w:rsidRPr="00124325" w:rsidRDefault="00AF67F2" w:rsidP="00AF67F2">
      <w:pPr>
        <w:ind w:left="141" w:right="208"/>
        <w:jc w:val="center"/>
        <w:rPr>
          <w:rFonts w:ascii="Azo Sans Lt" w:hAnsi="Azo Sans Lt" w:cstheme="minorHAnsi"/>
          <w:b/>
          <w:bCs/>
          <w:lang w:val="pt-BR"/>
        </w:rPr>
      </w:pPr>
      <w:r w:rsidRPr="00124325">
        <w:rPr>
          <w:rFonts w:ascii="Azo Sans Lt" w:hAnsi="Azo Sans Lt" w:cstheme="minorHAnsi"/>
          <w:b/>
          <w:bCs/>
          <w:lang w:val="pt-BR"/>
        </w:rPr>
        <w:t>Secretaria Municipal de Meio Ambiente e Desenvolvimento Urbano Sustentável</w:t>
      </w:r>
    </w:p>
    <w:p w14:paraId="5CAB8B52" w14:textId="77777777" w:rsidR="00AF67F2" w:rsidRPr="00124325" w:rsidRDefault="00AF67F2" w:rsidP="00AF67F2">
      <w:pPr>
        <w:ind w:left="141" w:right="208"/>
        <w:jc w:val="center"/>
        <w:rPr>
          <w:rFonts w:ascii="Azo Sans Lt" w:hAnsi="Azo Sans Lt" w:cstheme="minorHAnsi"/>
          <w:b/>
          <w:bCs/>
          <w:lang w:val="pt-BR"/>
        </w:rPr>
      </w:pPr>
      <w:r w:rsidRPr="00124325">
        <w:rPr>
          <w:rFonts w:ascii="Azo Sans Lt" w:hAnsi="Azo Sans Lt" w:cstheme="minorHAnsi"/>
          <w:b/>
          <w:bCs/>
          <w:lang w:val="pt-BR"/>
        </w:rPr>
        <w:t>Avenida Alberto Braune, nº 219 - Centro - Nova Friburgo/RJ</w:t>
      </w:r>
    </w:p>
    <w:p w14:paraId="3C0CAF90" w14:textId="77777777" w:rsidR="00AF67F2" w:rsidRPr="00124325" w:rsidRDefault="00AF67F2" w:rsidP="00AF67F2">
      <w:pPr>
        <w:ind w:left="141" w:right="208"/>
        <w:jc w:val="center"/>
        <w:rPr>
          <w:rFonts w:ascii="Azo Sans Lt" w:hAnsi="Azo Sans Lt" w:cstheme="minorHAnsi"/>
          <w:b/>
          <w:bCs/>
          <w:lang w:val="pt-BR"/>
        </w:rPr>
      </w:pPr>
      <w:r w:rsidRPr="00124325">
        <w:rPr>
          <w:rFonts w:ascii="Azo Sans Lt" w:hAnsi="Azo Sans Lt" w:cstheme="minorHAnsi"/>
          <w:b/>
          <w:bCs/>
          <w:lang w:val="pt-BR"/>
        </w:rPr>
        <w:t xml:space="preserve">Segunda à sexta-feira, das 9h às 17h </w:t>
      </w:r>
    </w:p>
    <w:p w14:paraId="4DB7F935" w14:textId="77777777" w:rsidR="00AF67F2" w:rsidRPr="00AF67F2" w:rsidRDefault="00AF67F2" w:rsidP="00AF67F2">
      <w:pPr>
        <w:pBdr>
          <w:top w:val="nil"/>
          <w:left w:val="nil"/>
          <w:bottom w:val="nil"/>
          <w:right w:val="nil"/>
          <w:between w:val="nil"/>
        </w:pBdr>
        <w:tabs>
          <w:tab w:val="left" w:pos="567"/>
        </w:tabs>
        <w:jc w:val="both"/>
        <w:rPr>
          <w:rFonts w:ascii="Azo Sans Lt" w:hAnsi="Azo Sans Lt" w:cstheme="minorHAnsi"/>
          <w:lang w:val="pt-BR"/>
        </w:rPr>
      </w:pPr>
    </w:p>
    <w:p w14:paraId="25E0548D" w14:textId="77777777" w:rsidR="00AF67F2" w:rsidRPr="00AF67F2" w:rsidRDefault="00AF67F2" w:rsidP="00124325">
      <w:pPr>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 xml:space="preserve"> Os produtos serão recebidos provisoriamente no prazo de 02 (dois) dias úteis, pelo(a) responsável pelo acompanhamento e fiscalização do contrato, para efeito de posterior verificação de sua conformidade com as especificações constantes neste Termo de Referência e na proposta;</w:t>
      </w:r>
    </w:p>
    <w:p w14:paraId="053783DF" w14:textId="77777777" w:rsidR="00AF67F2" w:rsidRPr="00AF67F2" w:rsidRDefault="00AF67F2" w:rsidP="00124325">
      <w:pPr>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 xml:space="preserve"> 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3DCAC36D" w14:textId="77777777" w:rsidR="00AF67F2" w:rsidRPr="00AF67F2" w:rsidRDefault="00AF67F2" w:rsidP="00AF67F2">
      <w:pPr>
        <w:pBdr>
          <w:top w:val="nil"/>
          <w:left w:val="nil"/>
          <w:bottom w:val="nil"/>
          <w:right w:val="nil"/>
          <w:between w:val="nil"/>
        </w:pBdr>
        <w:tabs>
          <w:tab w:val="left" w:pos="567"/>
        </w:tabs>
        <w:ind w:left="142"/>
        <w:jc w:val="both"/>
        <w:rPr>
          <w:rFonts w:ascii="Azo Sans Lt" w:hAnsi="Azo Sans Lt" w:cstheme="minorHAnsi"/>
          <w:lang w:val="pt-BR"/>
        </w:rPr>
      </w:pPr>
    </w:p>
    <w:p w14:paraId="26B7F607" w14:textId="77777777" w:rsidR="00AF67F2" w:rsidRPr="00AF67F2" w:rsidRDefault="00AF67F2" w:rsidP="00124325">
      <w:pPr>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lastRenderedPageBreak/>
        <w:t xml:space="preserve"> Os bens serão recebidos definitivamente no prazo de 02 (dois) dias, contados do recebimento provisório, após a verificação da qualidade e quantidade do material e consequente aceitação mediante termo circunstanciado;</w:t>
      </w:r>
    </w:p>
    <w:p w14:paraId="4065B4C2" w14:textId="77777777" w:rsidR="00AF67F2" w:rsidRPr="00AF67F2" w:rsidRDefault="00AF67F2" w:rsidP="00124325">
      <w:pPr>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 xml:space="preserve"> Na hipótese de a verificação a que se refere o subitem anterior não ser procedida dentro do prazo fixado, reputar-se-á como realizada, consumando-se o recebimento definitivo no dia do esgotamento do prazo;</w:t>
      </w:r>
    </w:p>
    <w:p w14:paraId="21962212" w14:textId="77777777" w:rsidR="00AF67F2" w:rsidRPr="00AF67F2" w:rsidRDefault="00AF67F2" w:rsidP="00124325">
      <w:pPr>
        <w:widowControl/>
        <w:numPr>
          <w:ilvl w:val="1"/>
          <w:numId w:val="38"/>
        </w:numPr>
        <w:pBdr>
          <w:top w:val="nil"/>
          <w:left w:val="nil"/>
          <w:bottom w:val="nil"/>
          <w:right w:val="nil"/>
          <w:between w:val="nil"/>
        </w:pBdr>
        <w:autoSpaceDE/>
        <w:autoSpaceDN/>
        <w:ind w:left="0" w:firstLine="0"/>
        <w:jc w:val="both"/>
        <w:rPr>
          <w:rFonts w:ascii="Azo Sans Lt" w:hAnsi="Azo Sans Lt" w:cstheme="minorHAnsi"/>
          <w:lang w:val="pt-BR"/>
        </w:rPr>
      </w:pPr>
      <w:r w:rsidRPr="00AF67F2">
        <w:rPr>
          <w:rFonts w:ascii="Azo Sans Lt" w:hAnsi="Azo Sans Lt" w:cstheme="minorHAnsi"/>
          <w:lang w:val="pt-BR"/>
        </w:rPr>
        <w:t xml:space="preserve"> O recebimento provisório ou definitivo do objeto não exclui a responsabilidade da contratada pelos prejuízos resultantes da incorreta execução do contrato.</w:t>
      </w:r>
    </w:p>
    <w:p w14:paraId="41C3A511" w14:textId="17A5C1F7" w:rsidR="000A7B5D" w:rsidRDefault="000A7B5D" w:rsidP="00AF67F2">
      <w:pPr>
        <w:pStyle w:val="PargrafodaLista"/>
        <w:widowControl/>
        <w:pBdr>
          <w:top w:val="nil"/>
          <w:left w:val="nil"/>
          <w:bottom w:val="nil"/>
          <w:right w:val="nil"/>
          <w:between w:val="nil"/>
        </w:pBdr>
        <w:autoSpaceDE/>
        <w:autoSpaceDN/>
        <w:spacing w:before="0" w:line="360" w:lineRule="auto"/>
        <w:ind w:left="0"/>
        <w:jc w:val="both"/>
        <w:rPr>
          <w:rFonts w:ascii="Azo Sans Lt" w:hAnsi="Azo Sans Lt" w:cstheme="minorHAnsi"/>
        </w:rPr>
      </w:pPr>
    </w:p>
    <w:p w14:paraId="51653C8A" w14:textId="7B6F79CA" w:rsidR="00A14FF7" w:rsidRPr="0049150C" w:rsidRDefault="00A14FF7" w:rsidP="00A46F9B">
      <w:pPr>
        <w:pStyle w:val="PargrafodaLista"/>
        <w:numPr>
          <w:ilvl w:val="0"/>
          <w:numId w:val="37"/>
        </w:numPr>
        <w:spacing w:before="0" w:line="360" w:lineRule="auto"/>
        <w:jc w:val="both"/>
        <w:rPr>
          <w:rFonts w:ascii="Azo Sans Lt" w:hAnsi="Azo Sans Lt" w:cstheme="minorHAnsi"/>
          <w:b/>
          <w:bCs/>
        </w:rPr>
      </w:pPr>
      <w:r w:rsidRPr="0049150C">
        <w:rPr>
          <w:rFonts w:ascii="Azo Sans Lt" w:hAnsi="Azo Sans Lt" w:cstheme="minorHAnsi"/>
          <w:b/>
          <w:bCs/>
        </w:rPr>
        <w:t xml:space="preserve">- </w:t>
      </w:r>
      <w:r w:rsidR="001D32DF" w:rsidRPr="0049150C">
        <w:rPr>
          <w:rFonts w:ascii="Azo Sans Lt" w:hAnsi="Azo Sans Lt" w:cstheme="minorHAnsi"/>
          <w:b/>
          <w:bCs/>
        </w:rPr>
        <w:t xml:space="preserve">CLAÚSULA NONA </w:t>
      </w:r>
      <w:r w:rsidRPr="0049150C">
        <w:rPr>
          <w:rFonts w:ascii="Azo Sans Lt" w:hAnsi="Azo Sans Lt" w:cstheme="minorHAnsi"/>
          <w:b/>
          <w:bCs/>
        </w:rPr>
        <w:t>–</w:t>
      </w:r>
      <w:r w:rsidR="001D32DF" w:rsidRPr="0049150C">
        <w:rPr>
          <w:rFonts w:ascii="Azo Sans Lt" w:hAnsi="Azo Sans Lt" w:cstheme="minorHAnsi"/>
          <w:b/>
          <w:bCs/>
        </w:rPr>
        <w:t xml:space="preserve"> FISCALIZAÇÃO</w:t>
      </w:r>
    </w:p>
    <w:p w14:paraId="114FA282" w14:textId="46C4B3C4" w:rsidR="00A46F9B" w:rsidRPr="00A46F9B" w:rsidRDefault="008A0130" w:rsidP="00A46F9B">
      <w:pPr>
        <w:pStyle w:val="PargrafodaLista"/>
        <w:widowControl/>
        <w:numPr>
          <w:ilvl w:val="1"/>
          <w:numId w:val="37"/>
        </w:numPr>
        <w:pBdr>
          <w:top w:val="nil"/>
          <w:left w:val="nil"/>
          <w:bottom w:val="nil"/>
          <w:right w:val="nil"/>
          <w:between w:val="nil"/>
        </w:pBdr>
        <w:autoSpaceDE/>
        <w:autoSpaceDN/>
        <w:spacing w:before="0" w:line="360" w:lineRule="auto"/>
        <w:ind w:left="0" w:firstLine="0"/>
        <w:jc w:val="both"/>
        <w:rPr>
          <w:rFonts w:ascii="Azo Sans Lt" w:hAnsi="Azo Sans Lt" w:cstheme="minorHAnsi"/>
          <w:lang w:val="pt-BR"/>
        </w:rPr>
      </w:pPr>
      <w:r w:rsidRPr="00A46F9B">
        <w:rPr>
          <w:rFonts w:ascii="Azo Sans Lt" w:hAnsi="Azo Sans Lt" w:cstheme="minorHAnsi"/>
          <w:lang w:val="pt-BR"/>
        </w:rPr>
        <w:t xml:space="preserve">- </w:t>
      </w:r>
      <w:r w:rsidR="00A46F9B" w:rsidRPr="00A46F9B">
        <w:rPr>
          <w:rFonts w:ascii="Azo Sans Lt" w:hAnsi="Azo Sans Lt" w:cstheme="minorHAnsi"/>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00590A33" w14:textId="77777777" w:rsidR="00A46F9B" w:rsidRPr="00A46F9B" w:rsidRDefault="00A46F9B" w:rsidP="00A46F9B">
      <w:pPr>
        <w:widowControl/>
        <w:numPr>
          <w:ilvl w:val="1"/>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A46F9B">
        <w:rPr>
          <w:rFonts w:ascii="Azo Sans Lt" w:hAnsi="Azo Sans Lt" w:cstheme="minorHAnsi"/>
          <w:lang w:val="pt-BR"/>
        </w:rPr>
        <w:t xml:space="preserve"> Para o acompanhamento e fiscalização do presente, ficam designados(as) os(as) agentes públicos(as) abaixo informado(as):</w:t>
      </w:r>
    </w:p>
    <w:tbl>
      <w:tblPr>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2552"/>
        <w:gridCol w:w="2693"/>
      </w:tblGrid>
      <w:tr w:rsidR="00A46F9B" w:rsidRPr="00A46F9B" w14:paraId="249E74D9" w14:textId="77777777" w:rsidTr="00A46F9B">
        <w:tc>
          <w:tcPr>
            <w:tcW w:w="3969" w:type="dxa"/>
            <w:tcBorders>
              <w:left w:val="nil"/>
            </w:tcBorders>
            <w:shd w:val="clear" w:color="auto" w:fill="D8D8D8"/>
          </w:tcPr>
          <w:p w14:paraId="151FBCA5"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NOME</w:t>
            </w:r>
          </w:p>
        </w:tc>
        <w:tc>
          <w:tcPr>
            <w:tcW w:w="2552" w:type="dxa"/>
            <w:shd w:val="clear" w:color="auto" w:fill="D8D8D8"/>
          </w:tcPr>
          <w:p w14:paraId="7D94B152"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MATRÍCULA</w:t>
            </w:r>
          </w:p>
        </w:tc>
        <w:tc>
          <w:tcPr>
            <w:tcW w:w="2693" w:type="dxa"/>
            <w:tcBorders>
              <w:right w:val="nil"/>
            </w:tcBorders>
            <w:shd w:val="clear" w:color="auto" w:fill="D8D8D8"/>
          </w:tcPr>
          <w:p w14:paraId="4C639D82"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GESTOR / FISCAL</w:t>
            </w:r>
          </w:p>
        </w:tc>
      </w:tr>
      <w:tr w:rsidR="00A46F9B" w:rsidRPr="00A46F9B" w14:paraId="7F1A91B2" w14:textId="77777777" w:rsidTr="00A46F9B">
        <w:tc>
          <w:tcPr>
            <w:tcW w:w="3969" w:type="dxa"/>
            <w:tcBorders>
              <w:left w:val="nil"/>
            </w:tcBorders>
          </w:tcPr>
          <w:p w14:paraId="6DF55C88" w14:textId="77777777" w:rsidR="00A46F9B" w:rsidRPr="00A46F9B" w:rsidRDefault="00A46F9B" w:rsidP="00A46F9B">
            <w:pPr>
              <w:widowControl/>
              <w:pBdr>
                <w:top w:val="nil"/>
                <w:left w:val="nil"/>
                <w:bottom w:val="nil"/>
                <w:right w:val="nil"/>
                <w:between w:val="nil"/>
              </w:pBdr>
              <w:spacing w:line="360" w:lineRule="auto"/>
              <w:jc w:val="both"/>
              <w:rPr>
                <w:rFonts w:ascii="Azo Sans Lt" w:hAnsi="Azo Sans Lt" w:cstheme="minorHAnsi"/>
                <w:lang w:val="pt-BR"/>
              </w:rPr>
            </w:pPr>
            <w:r w:rsidRPr="00A46F9B">
              <w:rPr>
                <w:rFonts w:ascii="Azo Sans Lt" w:hAnsi="Azo Sans Lt" w:cstheme="minorHAnsi"/>
                <w:lang w:val="pt-BR"/>
              </w:rPr>
              <w:t xml:space="preserve">Rafael </w:t>
            </w:r>
            <w:proofErr w:type="spellStart"/>
            <w:r w:rsidRPr="00A46F9B">
              <w:rPr>
                <w:rFonts w:ascii="Azo Sans Lt" w:hAnsi="Azo Sans Lt" w:cstheme="minorHAnsi"/>
                <w:lang w:val="pt-BR"/>
              </w:rPr>
              <w:t>Vigneron</w:t>
            </w:r>
            <w:proofErr w:type="spellEnd"/>
            <w:r w:rsidRPr="00A46F9B">
              <w:rPr>
                <w:rFonts w:ascii="Azo Sans Lt" w:hAnsi="Azo Sans Lt" w:cstheme="minorHAnsi"/>
                <w:lang w:val="pt-BR"/>
              </w:rPr>
              <w:t xml:space="preserve"> </w:t>
            </w:r>
            <w:proofErr w:type="spellStart"/>
            <w:r w:rsidRPr="00A46F9B">
              <w:rPr>
                <w:rFonts w:ascii="Azo Sans Lt" w:hAnsi="Azo Sans Lt" w:cstheme="minorHAnsi"/>
                <w:lang w:val="pt-BR"/>
              </w:rPr>
              <w:t>Cariello</w:t>
            </w:r>
            <w:proofErr w:type="spellEnd"/>
          </w:p>
        </w:tc>
        <w:tc>
          <w:tcPr>
            <w:tcW w:w="2552" w:type="dxa"/>
          </w:tcPr>
          <w:p w14:paraId="78EBB3FB"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062.036</w:t>
            </w:r>
          </w:p>
        </w:tc>
        <w:tc>
          <w:tcPr>
            <w:tcW w:w="2693" w:type="dxa"/>
            <w:tcBorders>
              <w:right w:val="nil"/>
            </w:tcBorders>
          </w:tcPr>
          <w:p w14:paraId="056497A7"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Gestor titular</w:t>
            </w:r>
          </w:p>
        </w:tc>
      </w:tr>
      <w:tr w:rsidR="00A46F9B" w:rsidRPr="00A46F9B" w14:paraId="15434215" w14:textId="77777777" w:rsidTr="00A46F9B">
        <w:tc>
          <w:tcPr>
            <w:tcW w:w="3969" w:type="dxa"/>
            <w:tcBorders>
              <w:left w:val="nil"/>
            </w:tcBorders>
          </w:tcPr>
          <w:p w14:paraId="39544410" w14:textId="77777777" w:rsidR="00A46F9B" w:rsidRPr="00A46F9B" w:rsidRDefault="00A46F9B" w:rsidP="00A46F9B">
            <w:pPr>
              <w:widowControl/>
              <w:pBdr>
                <w:top w:val="nil"/>
                <w:left w:val="nil"/>
                <w:bottom w:val="nil"/>
                <w:right w:val="nil"/>
                <w:between w:val="nil"/>
              </w:pBdr>
              <w:spacing w:line="360" w:lineRule="auto"/>
              <w:jc w:val="both"/>
              <w:rPr>
                <w:rFonts w:ascii="Azo Sans Lt" w:hAnsi="Azo Sans Lt" w:cstheme="minorHAnsi"/>
                <w:lang w:val="pt-BR"/>
              </w:rPr>
            </w:pPr>
            <w:r w:rsidRPr="00A46F9B">
              <w:rPr>
                <w:rFonts w:ascii="Azo Sans Lt" w:hAnsi="Azo Sans Lt" w:cstheme="minorHAnsi"/>
                <w:lang w:val="pt-BR"/>
              </w:rPr>
              <w:t>Vânia da Silva Heringer Sanches</w:t>
            </w:r>
          </w:p>
        </w:tc>
        <w:tc>
          <w:tcPr>
            <w:tcW w:w="2552" w:type="dxa"/>
          </w:tcPr>
          <w:p w14:paraId="70C3F0F4"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206917</w:t>
            </w:r>
          </w:p>
        </w:tc>
        <w:tc>
          <w:tcPr>
            <w:tcW w:w="2693" w:type="dxa"/>
            <w:tcBorders>
              <w:right w:val="nil"/>
            </w:tcBorders>
          </w:tcPr>
          <w:p w14:paraId="27FFA3FF"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Gestor substituto</w:t>
            </w:r>
          </w:p>
        </w:tc>
      </w:tr>
      <w:tr w:rsidR="00A46F9B" w:rsidRPr="00A46F9B" w14:paraId="4D072CBB" w14:textId="77777777" w:rsidTr="00A46F9B">
        <w:tc>
          <w:tcPr>
            <w:tcW w:w="3969" w:type="dxa"/>
            <w:tcBorders>
              <w:left w:val="nil"/>
            </w:tcBorders>
          </w:tcPr>
          <w:p w14:paraId="504AEE4E" w14:textId="77777777" w:rsidR="00A46F9B" w:rsidRPr="00A46F9B" w:rsidRDefault="00A46F9B" w:rsidP="00A46F9B">
            <w:pPr>
              <w:widowControl/>
              <w:pBdr>
                <w:top w:val="nil"/>
                <w:left w:val="nil"/>
                <w:bottom w:val="nil"/>
                <w:right w:val="nil"/>
                <w:between w:val="nil"/>
              </w:pBdr>
              <w:tabs>
                <w:tab w:val="left" w:pos="1200"/>
              </w:tabs>
              <w:spacing w:line="360" w:lineRule="auto"/>
              <w:jc w:val="both"/>
              <w:rPr>
                <w:rFonts w:ascii="Azo Sans Lt" w:hAnsi="Azo Sans Lt" w:cstheme="minorHAnsi"/>
                <w:lang w:val="pt-BR"/>
              </w:rPr>
            </w:pPr>
            <w:r w:rsidRPr="00A46F9B">
              <w:rPr>
                <w:rFonts w:ascii="Azo Sans Lt" w:hAnsi="Azo Sans Lt" w:cstheme="minorHAnsi"/>
                <w:lang w:val="pt-BR"/>
              </w:rPr>
              <w:t>Guilherme Moraes de Silveira</w:t>
            </w:r>
          </w:p>
        </w:tc>
        <w:tc>
          <w:tcPr>
            <w:tcW w:w="2552" w:type="dxa"/>
          </w:tcPr>
          <w:p w14:paraId="65A4F588"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105.267</w:t>
            </w:r>
          </w:p>
        </w:tc>
        <w:tc>
          <w:tcPr>
            <w:tcW w:w="2693" w:type="dxa"/>
            <w:tcBorders>
              <w:right w:val="nil"/>
            </w:tcBorders>
          </w:tcPr>
          <w:p w14:paraId="046C6263"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Fiscal titular</w:t>
            </w:r>
          </w:p>
        </w:tc>
      </w:tr>
      <w:tr w:rsidR="00A46F9B" w:rsidRPr="00A46F9B" w14:paraId="56F306B5" w14:textId="77777777" w:rsidTr="00A46F9B">
        <w:tc>
          <w:tcPr>
            <w:tcW w:w="3969" w:type="dxa"/>
            <w:tcBorders>
              <w:left w:val="nil"/>
            </w:tcBorders>
          </w:tcPr>
          <w:p w14:paraId="274BE7B0" w14:textId="77777777" w:rsidR="00A46F9B" w:rsidRPr="00A46F9B" w:rsidRDefault="00A46F9B" w:rsidP="00A46F9B">
            <w:pPr>
              <w:widowControl/>
              <w:pBdr>
                <w:top w:val="nil"/>
                <w:left w:val="nil"/>
                <w:bottom w:val="nil"/>
                <w:right w:val="nil"/>
                <w:between w:val="nil"/>
              </w:pBdr>
              <w:spacing w:line="360" w:lineRule="auto"/>
              <w:jc w:val="both"/>
              <w:rPr>
                <w:rFonts w:ascii="Azo Sans Lt" w:hAnsi="Azo Sans Lt" w:cstheme="minorHAnsi"/>
                <w:lang w:val="pt-BR"/>
              </w:rPr>
            </w:pPr>
            <w:r w:rsidRPr="00A46F9B">
              <w:rPr>
                <w:rFonts w:ascii="Azo Sans Lt" w:hAnsi="Azo Sans Lt" w:cstheme="minorHAnsi"/>
                <w:lang w:val="pt-BR"/>
              </w:rPr>
              <w:t>Tatiana de Araújo</w:t>
            </w:r>
          </w:p>
        </w:tc>
        <w:tc>
          <w:tcPr>
            <w:tcW w:w="2552" w:type="dxa"/>
          </w:tcPr>
          <w:p w14:paraId="2604180A"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062.789</w:t>
            </w:r>
          </w:p>
        </w:tc>
        <w:tc>
          <w:tcPr>
            <w:tcW w:w="2693" w:type="dxa"/>
            <w:tcBorders>
              <w:right w:val="nil"/>
            </w:tcBorders>
          </w:tcPr>
          <w:p w14:paraId="061B0DF4" w14:textId="77777777" w:rsidR="00A46F9B" w:rsidRPr="00A46F9B" w:rsidRDefault="00A46F9B" w:rsidP="00A46F9B">
            <w:pPr>
              <w:widowControl/>
              <w:pBdr>
                <w:top w:val="nil"/>
                <w:left w:val="nil"/>
                <w:bottom w:val="nil"/>
                <w:right w:val="nil"/>
                <w:between w:val="nil"/>
              </w:pBdr>
              <w:spacing w:line="360" w:lineRule="auto"/>
              <w:jc w:val="center"/>
              <w:rPr>
                <w:rFonts w:ascii="Azo Sans Lt" w:hAnsi="Azo Sans Lt" w:cstheme="minorHAnsi"/>
                <w:lang w:val="pt-BR"/>
              </w:rPr>
            </w:pPr>
            <w:r w:rsidRPr="00A46F9B">
              <w:rPr>
                <w:rFonts w:ascii="Azo Sans Lt" w:hAnsi="Azo Sans Lt" w:cstheme="minorHAnsi"/>
                <w:lang w:val="pt-BR"/>
              </w:rPr>
              <w:t>Fiscal substituto</w:t>
            </w:r>
          </w:p>
        </w:tc>
      </w:tr>
    </w:tbl>
    <w:p w14:paraId="44552904" w14:textId="77777777" w:rsidR="00A46F9B" w:rsidRPr="00A46F9B" w:rsidRDefault="00A46F9B" w:rsidP="00A46F9B">
      <w:pPr>
        <w:pBdr>
          <w:top w:val="nil"/>
          <w:left w:val="nil"/>
          <w:bottom w:val="nil"/>
          <w:right w:val="nil"/>
          <w:between w:val="nil"/>
        </w:pBdr>
        <w:spacing w:line="360" w:lineRule="auto"/>
        <w:ind w:left="1418"/>
        <w:jc w:val="both"/>
        <w:rPr>
          <w:rFonts w:ascii="Azo Sans Lt" w:hAnsi="Azo Sans Lt" w:cstheme="minorHAnsi"/>
          <w:lang w:val="pt-BR"/>
        </w:rPr>
      </w:pPr>
    </w:p>
    <w:p w14:paraId="12136170" w14:textId="77777777" w:rsidR="00A46F9B" w:rsidRPr="00A46F9B" w:rsidRDefault="00A46F9B" w:rsidP="00A46F9B">
      <w:pPr>
        <w:widowControl/>
        <w:numPr>
          <w:ilvl w:val="1"/>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A46F9B">
        <w:rPr>
          <w:rFonts w:ascii="Azo Sans Lt" w:hAnsi="Azo Sans Lt" w:cstheme="minorHAnsi"/>
          <w:lang w:val="pt-BR"/>
        </w:rPr>
        <w:t xml:space="preserve"> O (s) fiscal (</w:t>
      </w:r>
      <w:proofErr w:type="spellStart"/>
      <w:r w:rsidRPr="00A46F9B">
        <w:rPr>
          <w:rFonts w:ascii="Azo Sans Lt" w:hAnsi="Azo Sans Lt" w:cstheme="minorHAnsi"/>
          <w:lang w:val="pt-BR"/>
        </w:rPr>
        <w:t>is</w:t>
      </w:r>
      <w:proofErr w:type="spellEnd"/>
      <w:r w:rsidRPr="00A46F9B">
        <w:rPr>
          <w:rFonts w:ascii="Azo Sans Lt" w:hAnsi="Azo Sans Lt" w:cstheme="minorHAnsi"/>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3B7B56C" w14:textId="77777777" w:rsidR="00A46F9B" w:rsidRPr="00A46F9B" w:rsidRDefault="00A46F9B" w:rsidP="00A46F9B">
      <w:pPr>
        <w:widowControl/>
        <w:numPr>
          <w:ilvl w:val="1"/>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A46F9B">
        <w:rPr>
          <w:rFonts w:ascii="Azo Sans Lt" w:hAnsi="Azo Sans Lt" w:cstheme="minorHAnsi"/>
          <w:lang w:val="pt-BR"/>
        </w:rPr>
        <w:t xml:space="preserve"> O fiscal designado pela Contratante deverá ter a experiência necessária para o acompanhamento e controle da aquisição;</w:t>
      </w:r>
    </w:p>
    <w:p w14:paraId="0A2C33F3" w14:textId="77777777" w:rsidR="00A46F9B" w:rsidRPr="00A46F9B" w:rsidRDefault="00A46F9B" w:rsidP="00A46F9B">
      <w:pPr>
        <w:widowControl/>
        <w:numPr>
          <w:ilvl w:val="1"/>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A46F9B">
        <w:rPr>
          <w:rFonts w:ascii="Azo Sans Lt" w:hAnsi="Azo Sans Lt" w:cstheme="minorHAnsi"/>
          <w:lang w:val="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79B6218" w14:textId="5CD1A906" w:rsidR="008A0130" w:rsidRPr="00234408" w:rsidRDefault="008A0130" w:rsidP="00A46F9B">
      <w:pPr>
        <w:pStyle w:val="PargrafodaLista"/>
        <w:spacing w:before="0" w:line="360" w:lineRule="auto"/>
        <w:ind w:left="0"/>
        <w:jc w:val="both"/>
        <w:rPr>
          <w:rFonts w:ascii="Azo Sans Lt" w:hAnsi="Azo Sans Lt" w:cstheme="minorHAnsi"/>
        </w:rPr>
      </w:pPr>
    </w:p>
    <w:p w14:paraId="1ECB67B5" w14:textId="5F4840BE" w:rsidR="00055A35" w:rsidRDefault="00055A35" w:rsidP="00A46F9B">
      <w:pPr>
        <w:pStyle w:val="Nivel01"/>
        <w:numPr>
          <w:ilvl w:val="0"/>
          <w:numId w:val="37"/>
        </w:numPr>
        <w:tabs>
          <w:tab w:val="clear" w:pos="567"/>
          <w:tab w:val="left" w:pos="993"/>
        </w:tabs>
        <w:spacing w:before="0" w:line="360" w:lineRule="auto"/>
        <w:ind w:left="357" w:hanging="357"/>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CLÁUSULA DÉCIMA – OBRIGAÇÕES DA CONTRATANTE E DA CONTRATADA</w:t>
      </w:r>
    </w:p>
    <w:p w14:paraId="64D6C60B" w14:textId="77777777" w:rsidR="0085115F" w:rsidRPr="0085115F" w:rsidRDefault="0085115F" w:rsidP="0085115F">
      <w:pPr>
        <w:widowControl/>
        <w:numPr>
          <w:ilvl w:val="1"/>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Além das obrigações resultantes da aplicação da lei n° 8666/93 e demais normas pertinentes, são obrigações da CONTRATANTE:</w:t>
      </w:r>
    </w:p>
    <w:p w14:paraId="0D6DD8AB" w14:textId="7B6367F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Fiscalizar a aquisição, através de profissional designado para este fim, recebendo o objeto no prazo e condições estabelecidas no Edital, seus anexos e </w:t>
      </w:r>
      <w:r w:rsidR="00877568">
        <w:rPr>
          <w:rFonts w:ascii="Azo Sans Lt" w:hAnsi="Azo Sans Lt" w:cstheme="minorHAnsi"/>
          <w:lang w:val="pt-BR"/>
        </w:rPr>
        <w:t>no</w:t>
      </w:r>
      <w:r w:rsidRPr="0085115F">
        <w:rPr>
          <w:rFonts w:ascii="Azo Sans Lt" w:hAnsi="Azo Sans Lt" w:cstheme="minorHAnsi"/>
          <w:lang w:val="pt-BR"/>
        </w:rPr>
        <w:t xml:space="preserve"> Termo de Referência;</w:t>
      </w:r>
    </w:p>
    <w:p w14:paraId="735DA6A8"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Verificar minuciosamente, no prazo fixado, a conformidade dos bens recebidos provisoriamente com as especificações constantes do Edital e da proposta, para fins de aceitação e recebimento definitivo;</w:t>
      </w:r>
    </w:p>
    <w:p w14:paraId="348C6069"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Atestar as faturas/notas fiscais da CONTRATADA oriundas da aquisição; </w:t>
      </w:r>
    </w:p>
    <w:p w14:paraId="357FB09A"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Efetuar os pagamentos devidos nos prazos estabelecidos a contratada;</w:t>
      </w:r>
    </w:p>
    <w:p w14:paraId="62078028"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Prestar as informações e os devidos esclarecimentos que venham a ser solicitados pela CONTRATADA;</w:t>
      </w:r>
    </w:p>
    <w:p w14:paraId="4077EE63" w14:textId="2F98577B"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Aplicar as penalidades constantes no item das Sanções Administrativas do Termo de Referência, bem como instrumento </w:t>
      </w:r>
      <w:proofErr w:type="spellStart"/>
      <w:r w:rsidRPr="0085115F">
        <w:rPr>
          <w:rFonts w:ascii="Azo Sans Lt" w:hAnsi="Azo Sans Lt" w:cstheme="minorHAnsi"/>
          <w:lang w:val="pt-BR"/>
        </w:rPr>
        <w:t>editalício</w:t>
      </w:r>
      <w:proofErr w:type="spellEnd"/>
      <w:r w:rsidRPr="0085115F">
        <w:rPr>
          <w:rFonts w:ascii="Azo Sans Lt" w:hAnsi="Azo Sans Lt" w:cstheme="minorHAnsi"/>
          <w:lang w:val="pt-BR"/>
        </w:rPr>
        <w:t xml:space="preserve"> e Lei 8.666/93, em caso de descumprimento de qualquer obrigação por parte da CONTRATADA;</w:t>
      </w:r>
    </w:p>
    <w:p w14:paraId="4C5BD2C4"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28819FBE"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Acompanhar e fiscalizar o cumprimento das obrigações da Contratada, através de comissão/servidor especialmente designado;</w:t>
      </w:r>
    </w:p>
    <w:p w14:paraId="37C2C7CB"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Efetuar o pagamento à Contratada no valor correspondente ao fornecimento do objeto, no prazo e forma estabelecidos no Edital e seus anexos;</w:t>
      </w:r>
    </w:p>
    <w:p w14:paraId="0A82DB19" w14:textId="6D261DAE"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3E074B0" w14:textId="6F08C504" w:rsidR="00FF1A10" w:rsidRDefault="00E40A97" w:rsidP="0085115F">
      <w:pPr>
        <w:widowControl/>
        <w:numPr>
          <w:ilvl w:val="1"/>
          <w:numId w:val="37"/>
        </w:numPr>
        <w:autoSpaceDE/>
        <w:autoSpaceDN/>
        <w:spacing w:line="360" w:lineRule="auto"/>
        <w:ind w:left="0" w:firstLine="0"/>
        <w:jc w:val="both"/>
        <w:rPr>
          <w:rFonts w:ascii="Azo Sans Lt" w:hAnsi="Azo Sans Lt" w:cstheme="minorHAnsi"/>
          <w:b/>
          <w:bCs/>
        </w:rPr>
      </w:pPr>
      <w:r w:rsidRPr="00A87002">
        <w:rPr>
          <w:rFonts w:ascii="Azo Sans Lt" w:hAnsi="Azo Sans Lt" w:cstheme="minorHAnsi"/>
          <w:b/>
          <w:bCs/>
        </w:rPr>
        <w:t xml:space="preserve">Das obrigações da </w:t>
      </w:r>
      <w:r w:rsidR="0085115F">
        <w:rPr>
          <w:rFonts w:ascii="Azo Sans Lt" w:hAnsi="Azo Sans Lt" w:cstheme="minorHAnsi"/>
          <w:b/>
          <w:bCs/>
        </w:rPr>
        <w:t>CONTRATADA e forma de execução do contrato</w:t>
      </w:r>
      <w:r w:rsidR="00FF1A10">
        <w:rPr>
          <w:rFonts w:ascii="Azo Sans Lt" w:hAnsi="Azo Sans Lt" w:cstheme="minorHAnsi"/>
          <w:b/>
          <w:bCs/>
        </w:rPr>
        <w:t>:</w:t>
      </w:r>
    </w:p>
    <w:p w14:paraId="2C297334" w14:textId="0AD42E4B" w:rsidR="0085115F" w:rsidRPr="0085115F" w:rsidRDefault="0085115F" w:rsidP="0085115F">
      <w:pPr>
        <w:pStyle w:val="PargrafodaLista"/>
        <w:widowControl/>
        <w:numPr>
          <w:ilvl w:val="2"/>
          <w:numId w:val="37"/>
        </w:numPr>
        <w:pBdr>
          <w:top w:val="nil"/>
          <w:left w:val="nil"/>
          <w:bottom w:val="nil"/>
          <w:right w:val="nil"/>
          <w:between w:val="nil"/>
        </w:pBdr>
        <w:autoSpaceDE/>
        <w:autoSpaceDN/>
        <w:spacing w:before="0" w:line="360" w:lineRule="auto"/>
        <w:ind w:left="0" w:firstLine="0"/>
        <w:jc w:val="both"/>
        <w:rPr>
          <w:rFonts w:ascii="Azo Sans Lt" w:hAnsi="Azo Sans Lt" w:cstheme="minorHAnsi"/>
          <w:lang w:val="pt-BR"/>
        </w:rPr>
      </w:pPr>
      <w:r w:rsidRPr="0085115F">
        <w:rPr>
          <w:rFonts w:ascii="Azo Sans Lt" w:hAnsi="Azo Sans Lt" w:cstheme="minorHAnsi"/>
          <w:lang w:val="pt-BR"/>
        </w:rPr>
        <w:t>Além das obrigações resultantes da aplicação da lei n° 8666/93 e demais normas pertinentes, são obrigações da CONTRATADA:</w:t>
      </w:r>
    </w:p>
    <w:p w14:paraId="10AD0D92"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0323F38C"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lastRenderedPageBreak/>
        <w:t xml:space="preserve"> O objeto deve estar acompanhado do manual do usuário, com uma versão em português e da relação da rede de assistência técnica autorizada; (quando for o caso)</w:t>
      </w:r>
    </w:p>
    <w:p w14:paraId="44467BDE"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Responsabilizar-se pelos vícios e danos decorrentes do objeto, de acordo com os artigos 12, 13 e 17 a 27, do Código de Defesa do Consumidor (Lei nº 8.078, de 1990);</w:t>
      </w:r>
    </w:p>
    <w:p w14:paraId="39C54540" w14:textId="520DE296"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Substituir, reparar ou corrigir, às suas expensas, no prazo fixado </w:t>
      </w:r>
      <w:r w:rsidR="00877568">
        <w:rPr>
          <w:rFonts w:ascii="Azo Sans Lt" w:hAnsi="Azo Sans Lt" w:cstheme="minorHAnsi"/>
          <w:lang w:val="pt-BR"/>
        </w:rPr>
        <w:t>no</w:t>
      </w:r>
      <w:r w:rsidRPr="0085115F">
        <w:rPr>
          <w:rFonts w:ascii="Azo Sans Lt" w:hAnsi="Azo Sans Lt" w:cstheme="minorHAnsi"/>
          <w:lang w:val="pt-BR"/>
        </w:rPr>
        <w:t xml:space="preserve"> Termo de Referência, o objeto com avarias ou defeitos;</w:t>
      </w:r>
    </w:p>
    <w:p w14:paraId="411C662D"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Comunicar à Contratante, no prazo máximo de 24 (vinte e quatro) horas que antecede a data da entrega, os motivos que impossibilitem o cumprimento do prazo previsto, com a devida comprovação;</w:t>
      </w:r>
    </w:p>
    <w:p w14:paraId="08F50147"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Manter, durante toda a execução do contrato, em compatibilidade com as obrigações assumidas, todas as condições de habilitação e qualificação exigidas na licitação;</w:t>
      </w:r>
    </w:p>
    <w:p w14:paraId="14FDB111"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Manter preposto aceito pela Administração da Secretaria Municipal de Meio Ambiente e Desenvolvimento Urbano Sustentável, para representá-la na execução do Contrato;</w:t>
      </w:r>
    </w:p>
    <w:p w14:paraId="08E6B458" w14:textId="77777777"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Responder pelos encargos trabalhistas, previdenciários, fiscais e comerciais resultantes da execução do Contrato;</w:t>
      </w:r>
    </w:p>
    <w:p w14:paraId="672D72DC" w14:textId="79BA6DBB" w:rsidR="0085115F"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Cumprir o objeto do termo de referência de acordo com as especificações nele contidas, no Edital da licitação, bem como na legislação em vigor;</w:t>
      </w:r>
    </w:p>
    <w:p w14:paraId="584B22F5" w14:textId="141C46D2" w:rsidR="00FF1A10" w:rsidRPr="0085115F" w:rsidRDefault="0085115F" w:rsidP="0085115F">
      <w:pPr>
        <w:widowControl/>
        <w:numPr>
          <w:ilvl w:val="2"/>
          <w:numId w:val="37"/>
        </w:numPr>
        <w:pBdr>
          <w:top w:val="nil"/>
          <w:left w:val="nil"/>
          <w:bottom w:val="nil"/>
          <w:right w:val="nil"/>
          <w:between w:val="nil"/>
        </w:pBdr>
        <w:autoSpaceDE/>
        <w:autoSpaceDN/>
        <w:spacing w:line="360" w:lineRule="auto"/>
        <w:ind w:left="0" w:firstLine="0"/>
        <w:jc w:val="both"/>
        <w:rPr>
          <w:rFonts w:ascii="Azo Sans Lt" w:hAnsi="Azo Sans Lt" w:cstheme="minorHAnsi"/>
          <w:lang w:val="pt-BR"/>
        </w:rPr>
      </w:pPr>
      <w:r w:rsidRPr="0085115F">
        <w:rPr>
          <w:rFonts w:ascii="Azo Sans Lt" w:hAnsi="Azo Sans Lt" w:cstheme="minorHAnsi"/>
          <w:lang w:val="pt-BR"/>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Meio Ambiente e Desenvolvimento Urbano Sustentável.</w:t>
      </w:r>
    </w:p>
    <w:p w14:paraId="742EA88C" w14:textId="279AFCF2" w:rsidR="00A229E2" w:rsidRDefault="005F5E8D" w:rsidP="00A46F9B">
      <w:pPr>
        <w:pStyle w:val="Nivel01"/>
        <w:numPr>
          <w:ilvl w:val="0"/>
          <w:numId w:val="3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4E0E2E2A" w14:textId="77777777" w:rsidR="00E350C1" w:rsidRPr="00E350C1" w:rsidRDefault="00E350C1" w:rsidP="00A46F9B">
      <w:pPr>
        <w:pStyle w:val="PargrafodaLista"/>
        <w:numPr>
          <w:ilvl w:val="1"/>
          <w:numId w:val="37"/>
        </w:numPr>
        <w:tabs>
          <w:tab w:val="left" w:pos="851"/>
        </w:tabs>
        <w:spacing w:before="113" w:line="360" w:lineRule="auto"/>
        <w:ind w:left="0" w:right="3" w:firstLine="0"/>
        <w:jc w:val="both"/>
        <w:rPr>
          <w:rFonts w:ascii="Azo Sans Lt" w:hAnsi="Azo Sans Lt" w:cstheme="minorHAnsi"/>
          <w:lang w:val="pt-BR"/>
        </w:rPr>
      </w:pPr>
      <w:bookmarkStart w:id="2" w:name="_Hlk152773853"/>
      <w:r w:rsidRPr="00E350C1">
        <w:rPr>
          <w:rFonts w:ascii="Azo Sans Lt" w:hAnsi="Azo Sans Lt" w:cstheme="minorHAnsi"/>
          <w:lang w:val="pt-BR"/>
        </w:rPr>
        <w:t>O descumprimento, por parte da CONTRATADA, das obrigações assumidas no Termo de Referência, ou o descumprimento dos preceitos legais pertinentes, ensejará a aplicação das sanções previstas na Lei n.º 8.666/93.</w:t>
      </w:r>
    </w:p>
    <w:p w14:paraId="110DEC2F" w14:textId="77777777" w:rsidR="00E350C1" w:rsidRPr="00E350C1" w:rsidRDefault="00E350C1" w:rsidP="00A46F9B">
      <w:pPr>
        <w:numPr>
          <w:ilvl w:val="1"/>
          <w:numId w:val="37"/>
        </w:numPr>
        <w:tabs>
          <w:tab w:val="left" w:pos="851"/>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Comete infração administrativa a contratada que:</w:t>
      </w:r>
    </w:p>
    <w:p w14:paraId="5E2A8244"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Não assinar o termo de contrato ou aceitar/retirar o instrumento equivalente, quando convocado dentro do prazo de validade da proposta;</w:t>
      </w:r>
    </w:p>
    <w:p w14:paraId="1FD45794"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Apresentar documentação falsa;</w:t>
      </w:r>
    </w:p>
    <w:p w14:paraId="30307952"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Deixar de entregar os documentos exigidos no certame;</w:t>
      </w:r>
    </w:p>
    <w:p w14:paraId="4EAB0D3D"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lastRenderedPageBreak/>
        <w:t xml:space="preserve"> - ensejar o retardamento da execução do objeto;</w:t>
      </w:r>
    </w:p>
    <w:p w14:paraId="1327BDD2"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não mantiver a proposta;</w:t>
      </w:r>
    </w:p>
    <w:p w14:paraId="76A9E0E6"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cometer fraude fiscal;</w:t>
      </w:r>
    </w:p>
    <w:p w14:paraId="6E25DFEC" w14:textId="77777777" w:rsidR="00E350C1" w:rsidRPr="00E350C1" w:rsidRDefault="00E350C1" w:rsidP="00A46F9B">
      <w:pPr>
        <w:numPr>
          <w:ilvl w:val="2"/>
          <w:numId w:val="37"/>
        </w:numPr>
        <w:tabs>
          <w:tab w:val="left" w:pos="993"/>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comportar-se de modo inidôneo;</w:t>
      </w:r>
    </w:p>
    <w:p w14:paraId="3E0C510D" w14:textId="77777777" w:rsidR="00E350C1" w:rsidRPr="00E350C1" w:rsidRDefault="00E350C1" w:rsidP="00A46F9B">
      <w:pPr>
        <w:numPr>
          <w:ilvl w:val="1"/>
          <w:numId w:val="37"/>
        </w:numPr>
        <w:tabs>
          <w:tab w:val="left" w:pos="851"/>
        </w:tabs>
        <w:spacing w:before="113" w:line="360" w:lineRule="auto"/>
        <w:ind w:left="0" w:right="3" w:firstLine="0"/>
        <w:jc w:val="both"/>
        <w:rPr>
          <w:rFonts w:ascii="Azo Sans Lt" w:hAnsi="Azo Sans Lt" w:cstheme="minorHAnsi"/>
          <w:lang w:val="pt-BR"/>
        </w:rPr>
      </w:pPr>
      <w:r w:rsidRPr="00E350C1">
        <w:rPr>
          <w:rFonts w:ascii="Azo Sans Lt" w:hAnsi="Azo Sans Lt" w:cstheme="minorHAnsi"/>
          <w:lang w:val="pt-BR"/>
        </w:rPr>
        <w:t>-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8E4459" w14:textId="77777777" w:rsidR="00E350C1" w:rsidRPr="00E350C1" w:rsidRDefault="00E350C1" w:rsidP="00A46F9B">
      <w:pPr>
        <w:pStyle w:val="PargrafodaLista"/>
        <w:numPr>
          <w:ilvl w:val="1"/>
          <w:numId w:val="37"/>
        </w:numPr>
        <w:tabs>
          <w:tab w:val="left" w:pos="851"/>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 </w:t>
      </w:r>
      <w:bookmarkStart w:id="3" w:name="_Hlk149568476"/>
      <w:r w:rsidRPr="00E350C1">
        <w:rPr>
          <w:rFonts w:ascii="Azo Sans Lt" w:hAnsi="Azo Sans Lt" w:cstheme="minorHAnsi"/>
          <w:lang w:val="pt-BR"/>
        </w:rPr>
        <w:t>Licitante/adjudicatário que cometer quaisquer infrações discriminadas nos subitens anteriores ficará sujeito, sem prejuízo da responsabilidade civil e criminal, às seguintes sanções.</w:t>
      </w:r>
    </w:p>
    <w:p w14:paraId="61E1085C"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Advertência; </w:t>
      </w:r>
    </w:p>
    <w:p w14:paraId="110A9F58"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5F8FB85A"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Multa compensatória no percentual de até 5% (cinco por cento) do valor da fatura correspondente ao mês em que foi constatada a falta; (quando for o caso)</w:t>
      </w:r>
    </w:p>
    <w:p w14:paraId="27A0362E"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Multa moratória no percentual correspondente a 0,5% (meio por cento), calculada sobre o valor total do contrato, por dia de inadimplência, até o limite máximo de 10% (dez por cento), ou seja, por 20 (vinte) dias, o que poderá ensejar a rescisão do contrato;</w:t>
      </w:r>
    </w:p>
    <w:p w14:paraId="484B4240"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Multa  moratória no percentual de 10% (dez por cento), calculada sobre o valor total da contratação, pela inadimplência além do prazo acima, o que poderá ensejar a rescisão do contrato;</w:t>
      </w:r>
    </w:p>
    <w:p w14:paraId="0A396C4B"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Suspensão temporária de participação em licitação e impedimento de contratar com a Administração, por prazo não superior a 2 (dois) anos;</w:t>
      </w:r>
    </w:p>
    <w:p w14:paraId="57FC20F5"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E893B2E" w14:textId="77777777" w:rsidR="00E350C1" w:rsidRP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xml:space="preserve">- As multas e outras sanções aplicadas só poderão ser relevadas, motivadamente e </w:t>
      </w:r>
      <w:r w:rsidRPr="00E350C1">
        <w:rPr>
          <w:rFonts w:ascii="Azo Sans Lt" w:hAnsi="Azo Sans Lt" w:cstheme="minorHAnsi"/>
          <w:lang w:val="pt-BR"/>
        </w:rPr>
        <w:lastRenderedPageBreak/>
        <w:t>por conveniência administrativa, mediante ato da Administração, devidamente justificado;</w:t>
      </w:r>
    </w:p>
    <w:p w14:paraId="71B04E4A" w14:textId="77777777" w:rsidR="00E350C1" w:rsidRPr="00E350C1" w:rsidRDefault="00E350C1" w:rsidP="00A46F9B">
      <w:pPr>
        <w:pStyle w:val="PargrafodaLista"/>
        <w:widowControl/>
        <w:numPr>
          <w:ilvl w:val="2"/>
          <w:numId w:val="37"/>
        </w:numPr>
        <w:tabs>
          <w:tab w:val="left" w:pos="240"/>
        </w:tabs>
        <w:suppressAutoHyphens/>
        <w:overflowPunct w:val="0"/>
        <w:autoSpaceDE/>
        <w:autoSpaceDN/>
        <w:spacing w:before="0" w:line="360" w:lineRule="auto"/>
        <w:ind w:left="0" w:right="3" w:firstLine="0"/>
        <w:contextualSpacing/>
        <w:jc w:val="both"/>
        <w:rPr>
          <w:rFonts w:ascii="Azo Sans Lt" w:hAnsi="Azo Sans Lt" w:cstheme="minorHAnsi"/>
          <w:lang w:val="pt-BR"/>
        </w:rPr>
      </w:pPr>
      <w:bookmarkStart w:id="4" w:name="_Hlk110433298"/>
      <w:r w:rsidRPr="00E350C1">
        <w:rPr>
          <w:rFonts w:ascii="Azo Sans Lt" w:hAnsi="Azo Sans Lt" w:cstheme="minorHAnsi"/>
          <w:lang w:val="pt-BR"/>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4"/>
    </w:p>
    <w:p w14:paraId="13B87362" w14:textId="1B6EE2AD" w:rsidR="00E350C1" w:rsidRDefault="00E350C1" w:rsidP="00A46F9B">
      <w:pPr>
        <w:pStyle w:val="PargrafodaLista"/>
        <w:numPr>
          <w:ilvl w:val="2"/>
          <w:numId w:val="37"/>
        </w:numPr>
        <w:tabs>
          <w:tab w:val="left" w:pos="851"/>
          <w:tab w:val="left" w:pos="1134"/>
        </w:tabs>
        <w:autoSpaceDE/>
        <w:autoSpaceDN/>
        <w:spacing w:before="0" w:line="360" w:lineRule="auto"/>
        <w:ind w:left="0" w:right="3" w:firstLine="0"/>
        <w:jc w:val="both"/>
        <w:rPr>
          <w:rFonts w:ascii="Azo Sans Lt" w:hAnsi="Azo Sans Lt" w:cstheme="minorHAnsi"/>
          <w:lang w:val="pt-BR"/>
        </w:rPr>
      </w:pPr>
      <w:r w:rsidRPr="00E350C1">
        <w:rPr>
          <w:rFonts w:ascii="Azo Sans Lt" w:hAnsi="Azo Sans Lt" w:cstheme="minorHAnsi"/>
          <w:lang w:val="pt-BR"/>
        </w:rPr>
        <w:t>- A aplicação de quaisquer das penalidades previstas realizar-se–á em processo administrativo que assegurará o contraditório e a ampla defesa ao licitante/adjudicatário, observando-se o procedimento previsto na Lei n.º 8.666/93.</w:t>
      </w:r>
      <w:bookmarkEnd w:id="3"/>
    </w:p>
    <w:bookmarkEnd w:id="2"/>
    <w:p w14:paraId="07FAC39E" w14:textId="77777777" w:rsidR="00E350C1" w:rsidRPr="00E350C1" w:rsidRDefault="00E350C1" w:rsidP="00E350C1">
      <w:pPr>
        <w:pStyle w:val="PargrafodaLista"/>
        <w:tabs>
          <w:tab w:val="left" w:pos="851"/>
          <w:tab w:val="left" w:pos="1134"/>
        </w:tabs>
        <w:autoSpaceDE/>
        <w:autoSpaceDN/>
        <w:spacing w:before="0" w:line="360" w:lineRule="auto"/>
        <w:ind w:left="0" w:right="3"/>
        <w:jc w:val="both"/>
        <w:rPr>
          <w:rFonts w:ascii="Azo Sans Lt" w:hAnsi="Azo Sans Lt" w:cstheme="minorHAnsi"/>
          <w:lang w:val="pt-BR"/>
        </w:rPr>
      </w:pPr>
    </w:p>
    <w:p w14:paraId="32EB3BB1" w14:textId="26DE250E" w:rsidR="00763341" w:rsidRPr="00763341" w:rsidRDefault="00763341" w:rsidP="00A46F9B">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A46F9B">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A46F9B">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A46F9B">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A46F9B">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0C41C949" w:rsidR="001D32DF" w:rsidRDefault="001D32DF" w:rsidP="00A46F9B">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Indenizações e multas.</w:t>
      </w:r>
    </w:p>
    <w:p w14:paraId="52D39E5B" w14:textId="77777777" w:rsidR="00E350C1" w:rsidRPr="0075018C" w:rsidRDefault="00E350C1" w:rsidP="00E350C1">
      <w:pPr>
        <w:widowControl/>
        <w:autoSpaceDE/>
        <w:autoSpaceDN/>
        <w:spacing w:line="360" w:lineRule="auto"/>
        <w:jc w:val="both"/>
        <w:rPr>
          <w:rFonts w:ascii="Azo Sans Lt" w:hAnsi="Azo Sans Lt" w:cstheme="minorHAnsi"/>
        </w:rPr>
      </w:pPr>
    </w:p>
    <w:p w14:paraId="0D5AF7F3" w14:textId="0AAA9416" w:rsidR="00763341" w:rsidRPr="00DB474C" w:rsidRDefault="00763341" w:rsidP="00A46F9B">
      <w:pPr>
        <w:pStyle w:val="Nivel01"/>
        <w:numPr>
          <w:ilvl w:val="0"/>
          <w:numId w:val="37"/>
        </w:numPr>
        <w:spacing w:before="0" w:line="360" w:lineRule="auto"/>
        <w:rPr>
          <w:rFonts w:ascii="Azo Sans Lt" w:hAnsi="Azo Sans Lt" w:cstheme="minorHAnsi"/>
          <w:sz w:val="22"/>
          <w:szCs w:val="22"/>
          <w:lang w:val="pt-PT"/>
        </w:rPr>
      </w:pPr>
      <w:r w:rsidRPr="00DB474C">
        <w:rPr>
          <w:rFonts w:ascii="Azo Sans Lt" w:hAnsi="Azo Sans Lt" w:cstheme="minorHAnsi"/>
          <w:sz w:val="22"/>
          <w:szCs w:val="22"/>
          <w:lang w:val="pt-PT"/>
        </w:rPr>
        <w:t xml:space="preserve">- </w:t>
      </w:r>
      <w:r w:rsidR="001D32DF" w:rsidRPr="00DB474C">
        <w:rPr>
          <w:rFonts w:ascii="Azo Sans Lt" w:hAnsi="Azo Sans Lt" w:cstheme="minorHAnsi"/>
          <w:sz w:val="22"/>
          <w:szCs w:val="22"/>
          <w:lang w:val="pt-PT"/>
        </w:rPr>
        <w:t xml:space="preserve">CLÁUSULA DÉCIMA TERCEIRA – VEDAÇÕES </w:t>
      </w:r>
    </w:p>
    <w:p w14:paraId="6C1BCC3A" w14:textId="1E11E12E" w:rsidR="001D32DF"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2EF87422" w14:textId="77777777" w:rsidR="00E350C1" w:rsidRDefault="00E350C1" w:rsidP="00E350C1">
      <w:pPr>
        <w:widowControl/>
        <w:autoSpaceDE/>
        <w:autoSpaceDN/>
        <w:spacing w:line="360" w:lineRule="auto"/>
        <w:jc w:val="both"/>
        <w:rPr>
          <w:rFonts w:ascii="Azo Sans Lt" w:hAnsi="Azo Sans Lt" w:cstheme="minorHAnsi"/>
        </w:rPr>
      </w:pPr>
    </w:p>
    <w:p w14:paraId="044FCB60" w14:textId="256077BB" w:rsidR="00010323" w:rsidRPr="00DB474C" w:rsidRDefault="00010323" w:rsidP="00A46F9B">
      <w:pPr>
        <w:pStyle w:val="Nivel01"/>
        <w:numPr>
          <w:ilvl w:val="0"/>
          <w:numId w:val="37"/>
        </w:numPr>
        <w:spacing w:before="0" w:line="360" w:lineRule="auto"/>
        <w:rPr>
          <w:rFonts w:ascii="Azo Sans Lt" w:hAnsi="Azo Sans Lt" w:cstheme="minorHAnsi"/>
          <w:sz w:val="22"/>
          <w:szCs w:val="22"/>
          <w:lang w:val="pt-PT"/>
        </w:rPr>
      </w:pPr>
      <w:r w:rsidRPr="00DB474C">
        <w:rPr>
          <w:rFonts w:ascii="Azo Sans Lt" w:hAnsi="Azo Sans Lt" w:cstheme="minorHAnsi"/>
          <w:sz w:val="22"/>
          <w:szCs w:val="22"/>
          <w:lang w:val="pt-PT"/>
        </w:rPr>
        <w:lastRenderedPageBreak/>
        <w:t>CLÁUSULA DÉCIMA QUARTA – ALTERAÇÃO SUBJETIVA</w:t>
      </w:r>
    </w:p>
    <w:p w14:paraId="23DC6AA3" w14:textId="125D03A7" w:rsidR="00010323" w:rsidRPr="00E350C1" w:rsidRDefault="00453427" w:rsidP="00A46F9B">
      <w:pPr>
        <w:widowControl/>
        <w:numPr>
          <w:ilvl w:val="1"/>
          <w:numId w:val="37"/>
        </w:numPr>
        <w:autoSpaceDE/>
        <w:autoSpaceDN/>
        <w:spacing w:line="360" w:lineRule="auto"/>
        <w:ind w:left="0" w:firstLine="0"/>
        <w:jc w:val="both"/>
        <w:rPr>
          <w:rFonts w:ascii="Azo Sans Lt" w:hAnsi="Azo Sans Lt" w:cstheme="minorHAnsi"/>
        </w:rPr>
      </w:pPr>
      <w:r w:rsidRPr="00453427">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pactuadas, não haja prejuízo à execução do objeto e haja a anuência expressa da Administração.</w:t>
      </w:r>
    </w:p>
    <w:p w14:paraId="1561C9BB" w14:textId="77777777" w:rsidR="00E350C1" w:rsidRDefault="00E350C1" w:rsidP="00E350C1">
      <w:pPr>
        <w:widowControl/>
        <w:autoSpaceDE/>
        <w:autoSpaceDN/>
        <w:spacing w:line="360" w:lineRule="auto"/>
        <w:jc w:val="both"/>
        <w:rPr>
          <w:rFonts w:ascii="Azo Sans Lt" w:hAnsi="Azo Sans Lt" w:cstheme="minorHAnsi"/>
        </w:rPr>
      </w:pPr>
    </w:p>
    <w:p w14:paraId="49EC4A23" w14:textId="09C3C298" w:rsidR="00837319" w:rsidRPr="00837319" w:rsidRDefault="00837319" w:rsidP="00A46F9B">
      <w:pPr>
        <w:pStyle w:val="Nivel01"/>
        <w:numPr>
          <w:ilvl w:val="0"/>
          <w:numId w:val="37"/>
        </w:numPr>
        <w:spacing w:before="0" w:line="360" w:lineRule="auto"/>
        <w:rPr>
          <w:rFonts w:ascii="Azo Sans Lt" w:hAnsi="Azo Sans Lt" w:cstheme="minorHAnsi"/>
          <w:sz w:val="22"/>
          <w:szCs w:val="22"/>
        </w:rPr>
      </w:pPr>
      <w:bookmarkStart w:id="5"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2EC44624" w:rsidR="00837319" w:rsidRDefault="00837319" w:rsidP="00A46F9B">
      <w:pPr>
        <w:widowControl/>
        <w:numPr>
          <w:ilvl w:val="1"/>
          <w:numId w:val="37"/>
        </w:numPr>
        <w:autoSpaceDE/>
        <w:autoSpaceDN/>
        <w:spacing w:line="360" w:lineRule="auto"/>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AC3A054" w14:textId="77777777" w:rsidR="00E350C1" w:rsidRDefault="00E350C1" w:rsidP="00E350C1">
      <w:pPr>
        <w:widowControl/>
        <w:autoSpaceDE/>
        <w:autoSpaceDN/>
        <w:spacing w:line="360" w:lineRule="auto"/>
        <w:jc w:val="both"/>
        <w:rPr>
          <w:rFonts w:ascii="Azo Sans Lt" w:hAnsi="Azo Sans Lt" w:cstheme="minorHAnsi"/>
        </w:rPr>
      </w:pPr>
    </w:p>
    <w:p w14:paraId="2AA8FD78" w14:textId="5F54E0F8" w:rsidR="00837319" w:rsidRPr="00837319" w:rsidRDefault="00837319" w:rsidP="00A46F9B">
      <w:pPr>
        <w:pStyle w:val="Nivel01"/>
        <w:numPr>
          <w:ilvl w:val="0"/>
          <w:numId w:val="37"/>
        </w:numPr>
        <w:spacing w:before="0" w:line="360" w:lineRule="auto"/>
        <w:ind w:hanging="357"/>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1564202D" w:rsidR="00837319" w:rsidRPr="00E350C1" w:rsidRDefault="00837319" w:rsidP="00A46F9B">
      <w:pPr>
        <w:widowControl/>
        <w:numPr>
          <w:ilvl w:val="1"/>
          <w:numId w:val="37"/>
        </w:numPr>
        <w:autoSpaceDE/>
        <w:autoSpaceDN/>
        <w:spacing w:line="360" w:lineRule="auto"/>
        <w:ind w:left="284" w:hanging="284"/>
        <w:jc w:val="both"/>
        <w:rPr>
          <w:rFonts w:ascii="Azo Sans Lt" w:hAnsi="Azo Sans Lt" w:cstheme="minorHAnsi"/>
        </w:rPr>
      </w:pPr>
      <w:r w:rsidRPr="00837319">
        <w:rPr>
          <w:rFonts w:ascii="Azo Sans Lt" w:hAnsi="Azo Sans Lt" w:cstheme="minorHAnsi"/>
          <w:lang w:val="pt-BR"/>
        </w:rPr>
        <w:t>Não será admitida a subcontratação do objeto.</w:t>
      </w:r>
    </w:p>
    <w:p w14:paraId="3D331173" w14:textId="77777777" w:rsidR="00E350C1" w:rsidRPr="00837319" w:rsidRDefault="00E350C1" w:rsidP="00E350C1">
      <w:pPr>
        <w:widowControl/>
        <w:autoSpaceDE/>
        <w:autoSpaceDN/>
        <w:spacing w:line="360" w:lineRule="auto"/>
        <w:ind w:left="425"/>
        <w:jc w:val="both"/>
        <w:rPr>
          <w:rFonts w:ascii="Azo Sans Lt" w:hAnsi="Azo Sans Lt" w:cstheme="minorHAnsi"/>
        </w:rPr>
      </w:pPr>
    </w:p>
    <w:p w14:paraId="7E3E88D4" w14:textId="49784BDA" w:rsidR="00763341" w:rsidRPr="00763341" w:rsidRDefault="00763341" w:rsidP="00A46F9B">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bookmarkStart w:id="6"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6"/>
      <w:r w:rsidR="001D32DF" w:rsidRPr="0075018C">
        <w:rPr>
          <w:rFonts w:ascii="Azo Sans Lt" w:hAnsi="Azo Sans Lt" w:cstheme="minorHAnsi"/>
          <w:sz w:val="22"/>
          <w:szCs w:val="22"/>
        </w:rPr>
        <w:t>– ALTERAÇÕES</w:t>
      </w:r>
    </w:p>
    <w:bookmarkEnd w:id="5"/>
    <w:p w14:paraId="4A2117CD"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4638674E" w:rsidR="001D32DF"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7CE00641" w14:textId="77777777" w:rsidR="00096C5A" w:rsidRPr="0075018C" w:rsidRDefault="00096C5A" w:rsidP="00096C5A">
      <w:pPr>
        <w:widowControl/>
        <w:autoSpaceDE/>
        <w:autoSpaceDN/>
        <w:spacing w:line="360" w:lineRule="auto"/>
        <w:jc w:val="both"/>
        <w:rPr>
          <w:rFonts w:ascii="Azo Sans Lt" w:hAnsi="Azo Sans Lt" w:cstheme="minorHAnsi"/>
        </w:rPr>
      </w:pPr>
    </w:p>
    <w:p w14:paraId="1512E8FE" w14:textId="5F9866C6" w:rsidR="000F2826" w:rsidRPr="000F2826" w:rsidRDefault="000F2826" w:rsidP="00A46F9B">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040132BE" w:rsidR="001D32DF"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3D045B98" w14:textId="77777777" w:rsidR="00096C5A" w:rsidRPr="0075018C" w:rsidRDefault="00096C5A" w:rsidP="00096C5A">
      <w:pPr>
        <w:widowControl/>
        <w:autoSpaceDE/>
        <w:autoSpaceDN/>
        <w:spacing w:line="360" w:lineRule="auto"/>
        <w:jc w:val="both"/>
        <w:rPr>
          <w:rFonts w:ascii="Azo Sans Lt" w:hAnsi="Azo Sans Lt" w:cstheme="minorHAnsi"/>
        </w:rPr>
      </w:pPr>
    </w:p>
    <w:p w14:paraId="23811D85" w14:textId="351167A7" w:rsidR="000F2826" w:rsidRPr="000F2826" w:rsidRDefault="000F2826" w:rsidP="00A46F9B">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lastRenderedPageBreak/>
        <w:t xml:space="preserve">- </w:t>
      </w:r>
      <w:bookmarkStart w:id="7"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7"/>
    </w:p>
    <w:p w14:paraId="5CFD7C79" w14:textId="7E563908" w:rsidR="001D32DF"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4CD6D574" w14:textId="77777777" w:rsidR="00096C5A" w:rsidRPr="0075018C" w:rsidRDefault="00096C5A" w:rsidP="00096C5A">
      <w:pPr>
        <w:widowControl/>
        <w:autoSpaceDE/>
        <w:autoSpaceDN/>
        <w:spacing w:line="360" w:lineRule="auto"/>
        <w:jc w:val="both"/>
        <w:rPr>
          <w:rFonts w:ascii="Azo Sans Lt" w:hAnsi="Azo Sans Lt" w:cstheme="minorHAnsi"/>
        </w:rPr>
      </w:pPr>
    </w:p>
    <w:p w14:paraId="06D1B681" w14:textId="36CF2293" w:rsidR="000F2826" w:rsidRPr="000F2826" w:rsidRDefault="000F2826" w:rsidP="00A46F9B">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6A4D9033" w:rsidR="001D32DF" w:rsidRDefault="001D32DF" w:rsidP="00A46F9B">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3CA1D543" w14:textId="277F31ED" w:rsidR="003035CB" w:rsidRDefault="003035CB" w:rsidP="003035CB">
      <w:pPr>
        <w:widowControl/>
        <w:autoSpaceDE/>
        <w:autoSpaceDN/>
        <w:spacing w:line="360" w:lineRule="auto"/>
        <w:jc w:val="both"/>
        <w:rPr>
          <w:rFonts w:ascii="Azo Sans Lt" w:hAnsi="Azo Sans Lt" w:cstheme="minorHAnsi"/>
        </w:rPr>
      </w:pPr>
    </w:p>
    <w:p w14:paraId="55AB089E" w14:textId="77777777" w:rsidR="003035CB" w:rsidRDefault="003035CB" w:rsidP="003035CB">
      <w:pPr>
        <w:widowControl/>
        <w:autoSpaceDE/>
        <w:autoSpaceDN/>
        <w:spacing w:line="360" w:lineRule="auto"/>
        <w:jc w:val="both"/>
        <w:rPr>
          <w:rFonts w:ascii="Azo Sans Lt" w:hAnsi="Azo Sans Lt" w:cstheme="minorHAnsi"/>
        </w:rPr>
      </w:pPr>
    </w:p>
    <w:p w14:paraId="01908919" w14:textId="060CE1B5"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96C5A">
        <w:rPr>
          <w:rFonts w:ascii="Azo Sans Lt" w:hAnsi="Azo Sans Lt" w:cstheme="minorHAnsi"/>
        </w:rPr>
        <w:t>23.</w:t>
      </w:r>
    </w:p>
    <w:p w14:paraId="373B8238" w14:textId="77777777" w:rsidR="00096C5A" w:rsidRDefault="00096C5A"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00FF714B" w:rsidR="000F2826"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1D768618"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67030163" w14:textId="77777777" w:rsidR="003035CB" w:rsidRDefault="003035CB"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sectPr w:rsidR="001F44F7" w:rsidRPr="0075018C" w:rsidSect="00C92EB8">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276"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2F8F" w14:textId="77777777" w:rsidR="00FB547A" w:rsidRDefault="00FB547A">
      <w:r>
        <w:separator/>
      </w:r>
    </w:p>
  </w:endnote>
  <w:endnote w:type="continuationSeparator" w:id="0">
    <w:p w14:paraId="07376786" w14:textId="77777777" w:rsidR="00FB547A" w:rsidRDefault="00FB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panose1 w:val="02000000000000000000"/>
    <w:charset w:val="00"/>
    <w:family w:val="modern"/>
    <w:notTrueType/>
    <w:pitch w:val="variable"/>
    <w:sig w:usb0="00000007" w:usb1="00000000" w:usb2="00000000" w:usb3="00000000" w:csb0="00000093" w:csb1="00000000"/>
  </w:font>
  <w:font w:name="Leelawadee UI Semilight">
    <w:panose1 w:val="020B0402040204020203"/>
    <w:charset w:val="00"/>
    <w:family w:val="swiss"/>
    <w:pitch w:val="variable"/>
    <w:sig w:usb0="A3000003" w:usb1="00000000" w:usb2="00010000" w:usb3="00000000" w:csb0="000101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Ecofont_Spranq_eco_San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72AC8" w14:textId="77777777" w:rsidR="007479E7" w:rsidRDefault="007479E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B379DBF"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7479E7" w:rsidRPr="00042EB5">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82BDF" w14:textId="77777777" w:rsidR="007479E7" w:rsidRDefault="007479E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3B7DB" w14:textId="77777777" w:rsidR="00FB547A" w:rsidRDefault="00FB547A">
      <w:r>
        <w:separator/>
      </w:r>
    </w:p>
  </w:footnote>
  <w:footnote w:type="continuationSeparator" w:id="0">
    <w:p w14:paraId="0504F93A" w14:textId="77777777" w:rsidR="00FB547A" w:rsidRDefault="00FB5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D36E" w14:textId="77777777" w:rsidR="007479E7" w:rsidRDefault="007479E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103076390"/>
  <w:p w14:paraId="7E4E328F" w14:textId="74343401" w:rsidR="00CA5D6E" w:rsidRPr="00FC78DD" w:rsidRDefault="00CA5D6E" w:rsidP="00CA5D6E">
    <w:pPr>
      <w:suppressAutoHyphens/>
      <w:ind w:hanging="284"/>
      <w:rPr>
        <w:rFonts w:ascii="Arial" w:hAnsi="Arial" w:cs="Arial"/>
        <w:sz w:val="16"/>
        <w:szCs w:val="18"/>
      </w:rPr>
    </w:pPr>
    <w:r>
      <w:rPr>
        <w:noProof/>
      </w:rPr>
      <mc:AlternateContent>
        <mc:Choice Requires="wps">
          <w:drawing>
            <wp:anchor distT="0" distB="0" distL="0" distR="0" simplePos="0" relativeHeight="251659264" behindDoc="1" locked="0" layoutInCell="1" allowOverlap="1" wp14:anchorId="54C071A2" wp14:editId="03872F74">
              <wp:simplePos x="0" y="0"/>
              <wp:positionH relativeFrom="column">
                <wp:posOffset>4464050</wp:posOffset>
              </wp:positionH>
              <wp:positionV relativeFrom="paragraph">
                <wp:posOffset>158115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66B8FEAE" w14:textId="77777777" w:rsidR="00CA5D6E" w:rsidRDefault="00CA5D6E" w:rsidP="00CA5D6E">
                          <w:pPr>
                            <w:pStyle w:val="SemEspaamento"/>
                            <w:rPr>
                              <w:rFonts w:cs="Calibri"/>
                              <w:sz w:val="20"/>
                              <w:szCs w:val="20"/>
                            </w:rPr>
                          </w:pPr>
                          <w:r>
                            <w:rPr>
                              <w:rFonts w:cs="Calibri"/>
                              <w:sz w:val="20"/>
                              <w:szCs w:val="20"/>
                            </w:rPr>
                            <w:t>PROCESSO Nº: 23.458/2023</w:t>
                          </w:r>
                        </w:p>
                        <w:p w14:paraId="620F416F" w14:textId="77777777" w:rsidR="00CA5D6E" w:rsidRDefault="00CA5D6E" w:rsidP="00CA5D6E">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54C071A2" id="Retângulo 3" o:spid="_x0000_s1026" style="position:absolute;margin-left:351.5pt;margin-top:12.4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" strokeweight=".26mm">
              <v:stroke joinstyle="round"/>
              <v:path arrowok="t"/>
              <v:textbox>
                <w:txbxContent>
                  <w:p w14:paraId="66B8FEAE" w14:textId="77777777" w:rsidR="00CA5D6E" w:rsidRDefault="00CA5D6E" w:rsidP="00CA5D6E">
                    <w:pPr>
                      <w:pStyle w:val="SemEspaamento"/>
                      <w:rPr>
                        <w:rFonts w:cs="Calibri"/>
                        <w:sz w:val="20"/>
                        <w:szCs w:val="20"/>
                      </w:rPr>
                    </w:pPr>
                    <w:r>
                      <w:rPr>
                        <w:rFonts w:cs="Calibri"/>
                        <w:sz w:val="20"/>
                        <w:szCs w:val="20"/>
                      </w:rPr>
                      <w:t>PROCESSO Nº: 23.458/2023</w:t>
                    </w:r>
                  </w:p>
                  <w:p w14:paraId="620F416F" w14:textId="77777777" w:rsidR="00CA5D6E" w:rsidRDefault="00CA5D6E" w:rsidP="00CA5D6E">
                    <w:pPr>
                      <w:pStyle w:val="SemEspaamento"/>
                      <w:rPr>
                        <w:sz w:val="20"/>
                        <w:szCs w:val="20"/>
                      </w:rPr>
                    </w:pPr>
                    <w:r>
                      <w:rPr>
                        <w:rFonts w:cs="Calibri"/>
                        <w:sz w:val="20"/>
                        <w:szCs w:val="20"/>
                      </w:rPr>
                      <w:t xml:space="preserve">RUBRICA:______FOLHA:______ </w:t>
                    </w:r>
                  </w:p>
                </w:txbxContent>
              </v:textbox>
            </v:rect>
          </w:pict>
        </mc:Fallback>
      </mc:AlternateContent>
    </w:r>
    <w:bookmarkEnd w:id="8"/>
    <w:r w:rsidRPr="00E85A46">
      <w:rPr>
        <w:noProof/>
      </w:rPr>
      <w:drawing>
        <wp:inline distT="0" distB="0" distL="0" distR="0" wp14:anchorId="75D425BF" wp14:editId="03D2E915">
          <wp:extent cx="4297680" cy="9144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7680" cy="914400"/>
                  </a:xfrm>
                  <a:prstGeom prst="rect">
                    <a:avLst/>
                  </a:prstGeom>
                  <a:noFill/>
                  <a:ln>
                    <a:noFill/>
                  </a:ln>
                </pic:spPr>
              </pic:pic>
            </a:graphicData>
          </a:graphic>
        </wp:inline>
      </w:drawing>
    </w:r>
  </w:p>
  <w:p w14:paraId="0A6B2CC1" w14:textId="44BCF502" w:rsidR="009F2F85" w:rsidRPr="00C92EB8" w:rsidRDefault="009F2F85" w:rsidP="00C92EB8">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D114" w14:textId="77777777" w:rsidR="007479E7" w:rsidRDefault="007479E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68C6762"/>
    <w:multiLevelType w:val="multilevel"/>
    <w:tmpl w:val="F4E23ECC"/>
    <w:lvl w:ilvl="0">
      <w:start w:val="1"/>
      <w:numFmt w:val="bullet"/>
      <w:lvlText w:val="-"/>
      <w:lvlJc w:val="left"/>
      <w:pPr>
        <w:ind w:left="144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5EA6327"/>
    <w:multiLevelType w:val="multilevel"/>
    <w:tmpl w:val="BB8EDF22"/>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1D4D5C15"/>
    <w:multiLevelType w:val="multilevel"/>
    <w:tmpl w:val="ADD65A82"/>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2A5A72F6"/>
    <w:multiLevelType w:val="multilevel"/>
    <w:tmpl w:val="54F23D04"/>
    <w:lvl w:ilvl="0">
      <w:start w:val="5"/>
      <w:numFmt w:val="decimal"/>
      <w:lvlText w:val="%1."/>
      <w:lvlJc w:val="left"/>
      <w:pPr>
        <w:ind w:left="420" w:hanging="420"/>
      </w:pPr>
    </w:lvl>
    <w:lvl w:ilvl="1">
      <w:start w:val="1"/>
      <w:numFmt w:val="decimal"/>
      <w:lvlText w:val="%1.%2."/>
      <w:lvlJc w:val="left"/>
      <w:pPr>
        <w:ind w:left="1855" w:hanging="720"/>
      </w:pPr>
      <w:rPr>
        <w:rFonts w:ascii="Leelawadee UI Semilight" w:hAnsi="Leelawadee UI Semilight"/>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2E2E5C2B"/>
    <w:multiLevelType w:val="multilevel"/>
    <w:tmpl w:val="4A5634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40D86243"/>
    <w:multiLevelType w:val="multilevel"/>
    <w:tmpl w:val="DE02B5F0"/>
    <w:lvl w:ilvl="0">
      <w:start w:val="1"/>
      <w:numFmt w:val="decimal"/>
      <w:lvlText w:val="%1."/>
      <w:lvlJc w:val="left"/>
      <w:pPr>
        <w:ind w:left="0" w:firstLine="0"/>
      </w:pPr>
    </w:lvl>
    <w:lvl w:ilvl="1">
      <w:start w:val="1"/>
      <w:numFmt w:val="decimal"/>
      <w:lvlText w:val="%1.%2"/>
      <w:lvlJc w:val="left"/>
      <w:pPr>
        <w:ind w:left="48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0" w15:restartNumberingAfterBreak="0">
    <w:nsid w:val="46BB3DD5"/>
    <w:multiLevelType w:val="multilevel"/>
    <w:tmpl w:val="97CCE40A"/>
    <w:lvl w:ilvl="0">
      <w:start w:val="8"/>
      <w:numFmt w:val="decimal"/>
      <w:lvlText w:val="%1"/>
      <w:lvlJc w:val="left"/>
      <w:pPr>
        <w:ind w:left="360" w:hanging="360"/>
      </w:pPr>
      <w:rPr>
        <w:rFonts w:ascii="Azo Sans Lt" w:eastAsia="Verdana" w:hAnsi="Azo Sans Lt" w:cstheme="minorHAnsi" w:hint="default"/>
        <w:color w:val="auto"/>
      </w:rPr>
    </w:lvl>
    <w:lvl w:ilvl="1">
      <w:start w:val="1"/>
      <w:numFmt w:val="decimal"/>
      <w:lvlText w:val="%1.%2"/>
      <w:lvlJc w:val="left"/>
      <w:pPr>
        <w:ind w:left="360" w:hanging="360"/>
      </w:pPr>
      <w:rPr>
        <w:rFonts w:ascii="Azo Sans Lt" w:eastAsia="Verdana" w:hAnsi="Azo Sans Lt" w:cstheme="minorHAnsi" w:hint="default"/>
        <w:color w:val="auto"/>
      </w:rPr>
    </w:lvl>
    <w:lvl w:ilvl="2">
      <w:start w:val="1"/>
      <w:numFmt w:val="decimal"/>
      <w:lvlText w:val="%1.%2.%3"/>
      <w:lvlJc w:val="left"/>
      <w:pPr>
        <w:ind w:left="720" w:hanging="720"/>
      </w:pPr>
      <w:rPr>
        <w:rFonts w:ascii="Azo Sans Lt" w:eastAsia="Verdana" w:hAnsi="Azo Sans Lt" w:cstheme="minorHAnsi" w:hint="default"/>
        <w:color w:val="auto"/>
      </w:rPr>
    </w:lvl>
    <w:lvl w:ilvl="3">
      <w:start w:val="1"/>
      <w:numFmt w:val="decimal"/>
      <w:lvlText w:val="%1.%2.%3.%4"/>
      <w:lvlJc w:val="left"/>
      <w:pPr>
        <w:ind w:left="720" w:hanging="720"/>
      </w:pPr>
      <w:rPr>
        <w:rFonts w:ascii="Azo Sans Lt" w:eastAsia="Verdana" w:hAnsi="Azo Sans Lt" w:cstheme="minorHAnsi" w:hint="default"/>
        <w:color w:val="auto"/>
      </w:rPr>
    </w:lvl>
    <w:lvl w:ilvl="4">
      <w:start w:val="1"/>
      <w:numFmt w:val="decimal"/>
      <w:lvlText w:val="%1.%2.%3.%4.%5"/>
      <w:lvlJc w:val="left"/>
      <w:pPr>
        <w:ind w:left="1080" w:hanging="1080"/>
      </w:pPr>
      <w:rPr>
        <w:rFonts w:ascii="Azo Sans Lt" w:eastAsia="Verdana" w:hAnsi="Azo Sans Lt" w:cstheme="minorHAnsi" w:hint="default"/>
        <w:color w:val="auto"/>
      </w:rPr>
    </w:lvl>
    <w:lvl w:ilvl="5">
      <w:start w:val="1"/>
      <w:numFmt w:val="decimal"/>
      <w:lvlText w:val="%1.%2.%3.%4.%5.%6"/>
      <w:lvlJc w:val="left"/>
      <w:pPr>
        <w:ind w:left="1080" w:hanging="1080"/>
      </w:pPr>
      <w:rPr>
        <w:rFonts w:ascii="Azo Sans Lt" w:eastAsia="Verdana" w:hAnsi="Azo Sans Lt" w:cstheme="minorHAnsi" w:hint="default"/>
        <w:color w:val="auto"/>
      </w:rPr>
    </w:lvl>
    <w:lvl w:ilvl="6">
      <w:start w:val="1"/>
      <w:numFmt w:val="decimal"/>
      <w:lvlText w:val="%1.%2.%3.%4.%5.%6.%7"/>
      <w:lvlJc w:val="left"/>
      <w:pPr>
        <w:ind w:left="1440" w:hanging="1440"/>
      </w:pPr>
      <w:rPr>
        <w:rFonts w:ascii="Azo Sans Lt" w:eastAsia="Verdana" w:hAnsi="Azo Sans Lt" w:cstheme="minorHAnsi" w:hint="default"/>
        <w:color w:val="auto"/>
      </w:rPr>
    </w:lvl>
    <w:lvl w:ilvl="7">
      <w:start w:val="1"/>
      <w:numFmt w:val="decimal"/>
      <w:lvlText w:val="%1.%2.%3.%4.%5.%6.%7.%8"/>
      <w:lvlJc w:val="left"/>
      <w:pPr>
        <w:ind w:left="1440" w:hanging="1440"/>
      </w:pPr>
      <w:rPr>
        <w:rFonts w:ascii="Azo Sans Lt" w:eastAsia="Verdana" w:hAnsi="Azo Sans Lt" w:cstheme="minorHAnsi" w:hint="default"/>
        <w:color w:val="auto"/>
      </w:rPr>
    </w:lvl>
    <w:lvl w:ilvl="8">
      <w:start w:val="1"/>
      <w:numFmt w:val="decimal"/>
      <w:lvlText w:val="%1.%2.%3.%4.%5.%6.%7.%8.%9"/>
      <w:lvlJc w:val="left"/>
      <w:pPr>
        <w:ind w:left="1440" w:hanging="1440"/>
      </w:pPr>
      <w:rPr>
        <w:rFonts w:ascii="Azo Sans Lt" w:eastAsia="Verdana" w:hAnsi="Azo Sans Lt" w:cstheme="minorHAnsi" w:hint="default"/>
        <w:color w:val="auto"/>
      </w:rPr>
    </w:lvl>
  </w:abstractNum>
  <w:abstractNum w:abstractNumId="21"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9A3BF1"/>
    <w:multiLevelType w:val="multilevel"/>
    <w:tmpl w:val="A76A2642"/>
    <w:lvl w:ilvl="0">
      <w:start w:val="1"/>
      <w:numFmt w:val="decimal"/>
      <w:lvlText w:val="%1."/>
      <w:lvlJc w:val="left"/>
      <w:pPr>
        <w:ind w:left="0" w:firstLine="0"/>
      </w:pPr>
    </w:lvl>
    <w:lvl w:ilvl="1">
      <w:start w:val="1"/>
      <w:numFmt w:val="decimal"/>
      <w:lvlText w:val="%1.%2"/>
      <w:lvlJc w:val="left"/>
      <w:pPr>
        <w:ind w:left="48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4B3A34EB"/>
    <w:multiLevelType w:val="multilevel"/>
    <w:tmpl w:val="8F262CB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8"/>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8"/>
  </w:num>
  <w:num w:numId="9">
    <w:abstractNumId w:val="28"/>
  </w:num>
  <w:num w:numId="10">
    <w:abstractNumId w:val="24"/>
  </w:num>
  <w:num w:numId="11">
    <w:abstractNumId w:val="25"/>
  </w:num>
  <w:num w:numId="12">
    <w:abstractNumId w:val="30"/>
  </w:num>
  <w:num w:numId="13">
    <w:abstractNumId w:val="18"/>
  </w:num>
  <w:num w:numId="14">
    <w:abstractNumId w:val="32"/>
  </w:num>
  <w:num w:numId="15">
    <w:abstractNumId w:val="4"/>
  </w:num>
  <w:num w:numId="16">
    <w:abstractNumId w:val="12"/>
  </w:num>
  <w:num w:numId="17">
    <w:abstractNumId w:val="7"/>
  </w:num>
  <w:num w:numId="18">
    <w:abstractNumId w:val="31"/>
  </w:num>
  <w:num w:numId="19">
    <w:abstractNumId w:val="6"/>
  </w:num>
  <w:num w:numId="20">
    <w:abstractNumId w:val="9"/>
  </w:num>
  <w:num w:numId="21">
    <w:abstractNumId w:val="29"/>
  </w:num>
  <w:num w:numId="22">
    <w:abstractNumId w:val="26"/>
  </w:num>
  <w:num w:numId="23">
    <w:abstractNumId w:val="5"/>
  </w:num>
  <w:num w:numId="24">
    <w:abstractNumId w:val="27"/>
  </w:num>
  <w:num w:numId="25">
    <w:abstractNumId w:val="21"/>
  </w:num>
  <w:num w:numId="26">
    <w:abstractNumId w:val="8"/>
  </w:num>
  <w:num w:numId="27">
    <w:abstractNumId w:val="11"/>
  </w:num>
  <w:num w:numId="28">
    <w:abstractNumId w:val="1"/>
  </w:num>
  <w:num w:numId="29">
    <w:abstractNumId w:val="1"/>
  </w:num>
  <w:num w:numId="30">
    <w:abstractNumId w:val="14"/>
  </w:num>
  <w:num w:numId="31">
    <w:abstractNumId w:val="16"/>
  </w:num>
  <w:num w:numId="32">
    <w:abstractNumId w:val="13"/>
  </w:num>
  <w:num w:numId="33">
    <w:abstractNumId w:val="10"/>
  </w:num>
  <w:num w:numId="34">
    <w:abstractNumId w:val="22"/>
  </w:num>
  <w:num w:numId="35">
    <w:abstractNumId w:val="2"/>
  </w:num>
  <w:num w:numId="36">
    <w:abstractNumId w:val="23"/>
  </w:num>
  <w:num w:numId="37">
    <w:abstractNumId w:val="20"/>
  </w:num>
  <w:num w:numId="38">
    <w:abstractNumId w:val="17"/>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898"/>
    <w:rsid w:val="00004765"/>
    <w:rsid w:val="00010323"/>
    <w:rsid w:val="00016A9C"/>
    <w:rsid w:val="00037140"/>
    <w:rsid w:val="00055A35"/>
    <w:rsid w:val="00060815"/>
    <w:rsid w:val="00064A3F"/>
    <w:rsid w:val="00064D36"/>
    <w:rsid w:val="000659B7"/>
    <w:rsid w:val="00092735"/>
    <w:rsid w:val="00096C5A"/>
    <w:rsid w:val="00097D7B"/>
    <w:rsid w:val="000A7B5D"/>
    <w:rsid w:val="000D6176"/>
    <w:rsid w:val="000E6000"/>
    <w:rsid w:val="000E6DAE"/>
    <w:rsid w:val="000F2826"/>
    <w:rsid w:val="00100FEB"/>
    <w:rsid w:val="0010179C"/>
    <w:rsid w:val="00102A53"/>
    <w:rsid w:val="001079D7"/>
    <w:rsid w:val="00124325"/>
    <w:rsid w:val="001272CC"/>
    <w:rsid w:val="00147924"/>
    <w:rsid w:val="00165D70"/>
    <w:rsid w:val="00185DBF"/>
    <w:rsid w:val="001A0D41"/>
    <w:rsid w:val="001B5037"/>
    <w:rsid w:val="001D1890"/>
    <w:rsid w:val="001D32DF"/>
    <w:rsid w:val="001D4AC3"/>
    <w:rsid w:val="001E3568"/>
    <w:rsid w:val="001F44F7"/>
    <w:rsid w:val="00204C8A"/>
    <w:rsid w:val="00227DC7"/>
    <w:rsid w:val="00234408"/>
    <w:rsid w:val="00243E36"/>
    <w:rsid w:val="002556A7"/>
    <w:rsid w:val="002663BD"/>
    <w:rsid w:val="0027001D"/>
    <w:rsid w:val="00276C18"/>
    <w:rsid w:val="0028199E"/>
    <w:rsid w:val="0028504B"/>
    <w:rsid w:val="002A7071"/>
    <w:rsid w:val="002F2CC8"/>
    <w:rsid w:val="002F4AE8"/>
    <w:rsid w:val="003035CB"/>
    <w:rsid w:val="00304A79"/>
    <w:rsid w:val="00315F43"/>
    <w:rsid w:val="0032285B"/>
    <w:rsid w:val="00324D11"/>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C378D"/>
    <w:rsid w:val="00403108"/>
    <w:rsid w:val="0041063D"/>
    <w:rsid w:val="00413F35"/>
    <w:rsid w:val="00417717"/>
    <w:rsid w:val="00436587"/>
    <w:rsid w:val="00453427"/>
    <w:rsid w:val="00461F93"/>
    <w:rsid w:val="00466BF6"/>
    <w:rsid w:val="0047582C"/>
    <w:rsid w:val="0049150C"/>
    <w:rsid w:val="004959AC"/>
    <w:rsid w:val="004A09DC"/>
    <w:rsid w:val="004B61AB"/>
    <w:rsid w:val="004E079B"/>
    <w:rsid w:val="004E221E"/>
    <w:rsid w:val="005241B8"/>
    <w:rsid w:val="005258A4"/>
    <w:rsid w:val="005466C3"/>
    <w:rsid w:val="00563586"/>
    <w:rsid w:val="005B5E2E"/>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2097"/>
    <w:rsid w:val="006D6562"/>
    <w:rsid w:val="006E5958"/>
    <w:rsid w:val="007168B3"/>
    <w:rsid w:val="00735ADD"/>
    <w:rsid w:val="007479E7"/>
    <w:rsid w:val="0075018C"/>
    <w:rsid w:val="00752574"/>
    <w:rsid w:val="00763341"/>
    <w:rsid w:val="00766ABB"/>
    <w:rsid w:val="00773AA0"/>
    <w:rsid w:val="007767C7"/>
    <w:rsid w:val="00785D66"/>
    <w:rsid w:val="0079421E"/>
    <w:rsid w:val="007D043B"/>
    <w:rsid w:val="007D4172"/>
    <w:rsid w:val="007F637A"/>
    <w:rsid w:val="007F7B13"/>
    <w:rsid w:val="00814BB1"/>
    <w:rsid w:val="008311C9"/>
    <w:rsid w:val="00831574"/>
    <w:rsid w:val="00837319"/>
    <w:rsid w:val="008375B8"/>
    <w:rsid w:val="0085115F"/>
    <w:rsid w:val="00857EE4"/>
    <w:rsid w:val="00862F78"/>
    <w:rsid w:val="00870B00"/>
    <w:rsid w:val="00877568"/>
    <w:rsid w:val="008828B6"/>
    <w:rsid w:val="00885008"/>
    <w:rsid w:val="008972E0"/>
    <w:rsid w:val="008A0130"/>
    <w:rsid w:val="008A046D"/>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F2F85"/>
    <w:rsid w:val="00A06D2F"/>
    <w:rsid w:val="00A111BA"/>
    <w:rsid w:val="00A14FF7"/>
    <w:rsid w:val="00A229E2"/>
    <w:rsid w:val="00A327A0"/>
    <w:rsid w:val="00A46F9B"/>
    <w:rsid w:val="00A543AB"/>
    <w:rsid w:val="00A74974"/>
    <w:rsid w:val="00A87002"/>
    <w:rsid w:val="00A96E16"/>
    <w:rsid w:val="00AD022C"/>
    <w:rsid w:val="00AE7153"/>
    <w:rsid w:val="00AF5DD4"/>
    <w:rsid w:val="00AF67F2"/>
    <w:rsid w:val="00AF6B88"/>
    <w:rsid w:val="00B02294"/>
    <w:rsid w:val="00B03288"/>
    <w:rsid w:val="00B061E6"/>
    <w:rsid w:val="00B06A69"/>
    <w:rsid w:val="00B12062"/>
    <w:rsid w:val="00B13DC2"/>
    <w:rsid w:val="00B25D0B"/>
    <w:rsid w:val="00B26F60"/>
    <w:rsid w:val="00B27105"/>
    <w:rsid w:val="00B676BB"/>
    <w:rsid w:val="00B84DE4"/>
    <w:rsid w:val="00B867B3"/>
    <w:rsid w:val="00B923BE"/>
    <w:rsid w:val="00BA1327"/>
    <w:rsid w:val="00BA2AC6"/>
    <w:rsid w:val="00BA68EF"/>
    <w:rsid w:val="00BB3B8F"/>
    <w:rsid w:val="00BB527C"/>
    <w:rsid w:val="00BB61D2"/>
    <w:rsid w:val="00BE3C4E"/>
    <w:rsid w:val="00BE3CE6"/>
    <w:rsid w:val="00BF3141"/>
    <w:rsid w:val="00C12366"/>
    <w:rsid w:val="00C55896"/>
    <w:rsid w:val="00C74C9C"/>
    <w:rsid w:val="00C81B18"/>
    <w:rsid w:val="00C91A0C"/>
    <w:rsid w:val="00C92EB8"/>
    <w:rsid w:val="00CA5D6E"/>
    <w:rsid w:val="00CA5F9F"/>
    <w:rsid w:val="00CB6468"/>
    <w:rsid w:val="00CC288A"/>
    <w:rsid w:val="00CC666F"/>
    <w:rsid w:val="00CE1CB6"/>
    <w:rsid w:val="00CF41A6"/>
    <w:rsid w:val="00D06A05"/>
    <w:rsid w:val="00D22F45"/>
    <w:rsid w:val="00D2319A"/>
    <w:rsid w:val="00D249B9"/>
    <w:rsid w:val="00D2776D"/>
    <w:rsid w:val="00D37D2E"/>
    <w:rsid w:val="00D7299B"/>
    <w:rsid w:val="00D73E45"/>
    <w:rsid w:val="00DA0D02"/>
    <w:rsid w:val="00DB474C"/>
    <w:rsid w:val="00DB6EA1"/>
    <w:rsid w:val="00DD641A"/>
    <w:rsid w:val="00E12775"/>
    <w:rsid w:val="00E151D6"/>
    <w:rsid w:val="00E26E61"/>
    <w:rsid w:val="00E27B1B"/>
    <w:rsid w:val="00E30BFB"/>
    <w:rsid w:val="00E3422D"/>
    <w:rsid w:val="00E350C1"/>
    <w:rsid w:val="00E40A97"/>
    <w:rsid w:val="00E4547A"/>
    <w:rsid w:val="00E73173"/>
    <w:rsid w:val="00E77501"/>
    <w:rsid w:val="00E87FEF"/>
    <w:rsid w:val="00EC7959"/>
    <w:rsid w:val="00EE2035"/>
    <w:rsid w:val="00EF0A5F"/>
    <w:rsid w:val="00F11F7F"/>
    <w:rsid w:val="00F2750F"/>
    <w:rsid w:val="00F336C7"/>
    <w:rsid w:val="00F37352"/>
    <w:rsid w:val="00F40051"/>
    <w:rsid w:val="00F45FFC"/>
    <w:rsid w:val="00F829FD"/>
    <w:rsid w:val="00FA4734"/>
    <w:rsid w:val="00FB230B"/>
    <w:rsid w:val="00FB547A"/>
    <w:rsid w:val="00FD2171"/>
    <w:rsid w:val="00FD7FE7"/>
    <w:rsid w:val="00FE6985"/>
    <w:rsid w:val="00FF1A10"/>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Contedodatabela">
    <w:name w:val="Conteúdo da tabela"/>
    <w:basedOn w:val="Normal"/>
    <w:rsid w:val="00234408"/>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PargrafodaListaChar">
    <w:name w:val="Parágrafo da Lista Char"/>
    <w:link w:val="PargrafodaLista"/>
    <w:uiPriority w:val="99"/>
    <w:qFormat/>
    <w:locked/>
    <w:rsid w:val="00E350C1"/>
    <w:rPr>
      <w:rFonts w:ascii="Verdana" w:eastAsia="Verdana" w:hAnsi="Verdana" w:cs="Verdana"/>
      <w:sz w:val="22"/>
      <w:szCs w:val="22"/>
      <w:lang w:val="pt-PT" w:eastAsia="en-US"/>
    </w:rPr>
  </w:style>
  <w:style w:type="character" w:styleId="MenoPendente">
    <w:name w:val="Unresolved Mention"/>
    <w:basedOn w:val="Fontepargpadro"/>
    <w:uiPriority w:val="99"/>
    <w:semiHidden/>
    <w:unhideWhenUsed/>
    <w:rsid w:val="00747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10</Pages>
  <Words>2961</Words>
  <Characters>15995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Monique Borges de Azevedo</cp:lastModifiedBy>
  <cp:revision>27</cp:revision>
  <cp:lastPrinted>2023-12-21T12:36:00Z</cp:lastPrinted>
  <dcterms:created xsi:type="dcterms:W3CDTF">2021-07-06T19:42:00Z</dcterms:created>
  <dcterms:modified xsi:type="dcterms:W3CDTF">2023-12-21T12:36:00Z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